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sz w:val="32"/>
          <w:szCs w:val="32"/>
          <w:lang w:val="en-US" w:eastAsia="zh-CN"/>
        </w:rPr>
        <w:t>附件1</w:t>
      </w:r>
    </w:p>
    <w:p>
      <w:pPr>
        <w:pStyle w:val="2"/>
        <w:spacing w:line="560" w:lineRule="exact"/>
        <w:rPr>
          <w:rFonts w:hint="default" w:ascii="Times New Roman" w:hAnsi="Times New Roman" w:cs="Times New Roman"/>
          <w:sz w:val="44"/>
          <w:szCs w:val="44"/>
        </w:rPr>
      </w:pPr>
      <w:r>
        <w:rPr>
          <w:rFonts w:hint="eastAsia" w:ascii="Times New Roman" w:hAnsi="Times New Roman" w:cs="Times New Roman"/>
          <w:sz w:val="44"/>
          <w:szCs w:val="44"/>
          <w:lang w:eastAsia="zh-CN"/>
        </w:rPr>
        <w:t>宁夏回族</w:t>
      </w:r>
      <w:r>
        <w:rPr>
          <w:rFonts w:hint="default" w:ascii="Times New Roman" w:hAnsi="Times New Roman" w:cs="Times New Roman"/>
          <w:sz w:val="44"/>
          <w:szCs w:val="44"/>
        </w:rPr>
        <w:t>自治区粮食行政处罚</w:t>
      </w:r>
    </w:p>
    <w:p>
      <w:pPr>
        <w:pStyle w:val="2"/>
        <w:spacing w:line="560" w:lineRule="exact"/>
        <w:rPr>
          <w:rFonts w:hint="default" w:ascii="Times New Roman" w:hAnsi="Times New Roman" w:cs="Times New Roman"/>
          <w:sz w:val="44"/>
          <w:szCs w:val="44"/>
        </w:rPr>
      </w:pPr>
      <w:r>
        <w:rPr>
          <w:rFonts w:hint="default" w:ascii="Times New Roman" w:hAnsi="Times New Roman" w:cs="Times New Roman"/>
          <w:sz w:val="44"/>
          <w:szCs w:val="44"/>
        </w:rPr>
        <w:t>裁量权基准制度</w:t>
      </w:r>
      <w:r>
        <w:rPr>
          <w:rFonts w:hint="default" w:ascii="Times New Roman" w:hAnsi="Times New Roman" w:cs="Times New Roman"/>
          <w:sz w:val="44"/>
          <w:szCs w:val="44"/>
          <w:lang w:eastAsia="zh-CN"/>
        </w:rPr>
        <w:t>（</w:t>
      </w:r>
      <w:r>
        <w:rPr>
          <w:rFonts w:hint="default" w:ascii="Times New Roman" w:hAnsi="Times New Roman" w:cs="Times New Roman"/>
          <w:sz w:val="44"/>
          <w:szCs w:val="44"/>
          <w:lang w:val="en-US" w:eastAsia="zh-CN"/>
        </w:rPr>
        <w:t>试行</w:t>
      </w:r>
      <w:r>
        <w:rPr>
          <w:rFonts w:hint="default" w:ascii="Times New Roman" w:hAnsi="Times New Roman" w:cs="Times New Roman"/>
          <w:sz w:val="44"/>
          <w:szCs w:val="44"/>
          <w:lang w:eastAsia="zh-CN"/>
        </w:rPr>
        <w:t>）</w:t>
      </w:r>
    </w:p>
    <w:p>
      <w:pPr>
        <w:spacing w:line="560"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pPr>
        <w:spacing w:before="313" w:beforeLines="100" w:after="313" w:afterLines="100" w:line="560" w:lineRule="exact"/>
        <w:ind w:firstLine="0" w:firstLineChars="0"/>
        <w:jc w:val="center"/>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第一章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总则</w:t>
      </w:r>
      <w:bookmarkStart w:id="0" w:name="_GoBack"/>
      <w:bookmarkEnd w:id="0"/>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第一条 </w:t>
      </w:r>
      <w:r>
        <w:rPr>
          <w:rFonts w:hint="default" w:ascii="Times New Roman" w:hAnsi="Times New Roman" w:eastAsia="仿宋_GB2312" w:cs="Times New Roman"/>
          <w:sz w:val="32"/>
          <w:szCs w:val="32"/>
        </w:rPr>
        <w:t>为规范全区粮食行政执法行为，正确行使裁量权，维护行政管理相对人的合法权益，依据《中华人民共和国行政处罚法》《粮食流通管理条例》</w:t>
      </w:r>
      <w:r>
        <w:rPr>
          <w:rFonts w:hint="eastAsia" w:eastAsia="仿宋_GB2312" w:cs="Times New Roman"/>
          <w:sz w:val="32"/>
          <w:szCs w:val="32"/>
          <w:lang w:eastAsia="zh-CN"/>
        </w:rPr>
        <w:t>《宁夏回族自治区地方储备粮管理条例》《粮油仓储管理办法》</w:t>
      </w:r>
      <w:r>
        <w:rPr>
          <w:rFonts w:hint="default" w:ascii="Times New Roman" w:hAnsi="Times New Roman" w:eastAsia="仿宋_GB2312" w:cs="Times New Roman"/>
          <w:sz w:val="32"/>
          <w:szCs w:val="32"/>
        </w:rPr>
        <w:t>等法律法规</w:t>
      </w:r>
      <w:r>
        <w:rPr>
          <w:rFonts w:hint="eastAsia" w:eastAsia="仿宋_GB2312" w:cs="Times New Roman"/>
          <w:sz w:val="32"/>
          <w:szCs w:val="32"/>
          <w:lang w:eastAsia="zh-CN"/>
        </w:rPr>
        <w:t>规章</w:t>
      </w:r>
      <w:r>
        <w:rPr>
          <w:rFonts w:hint="default" w:ascii="Times New Roman" w:hAnsi="Times New Roman" w:eastAsia="仿宋_GB2312" w:cs="Times New Roman"/>
          <w:sz w:val="32"/>
          <w:szCs w:val="32"/>
        </w:rPr>
        <w:t>及</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国务院办公厅关于进一步规范行政裁量权基准制定和管理工作的意见</w:t>
      </w:r>
      <w:r>
        <w:rPr>
          <w:rFonts w:hint="eastAsia" w:eastAsia="仿宋_GB2312" w:cs="Times New Roman"/>
          <w:sz w:val="32"/>
          <w:szCs w:val="32"/>
          <w:lang w:eastAsia="zh-CN"/>
        </w:rPr>
        <w:t>》等</w:t>
      </w:r>
      <w:r>
        <w:rPr>
          <w:rFonts w:hint="default" w:ascii="Times New Roman" w:hAnsi="Times New Roman" w:eastAsia="仿宋_GB2312" w:cs="Times New Roman"/>
          <w:sz w:val="32"/>
          <w:szCs w:val="32"/>
        </w:rPr>
        <w:t>相关规定，结合自治区粮食行政执法实际，制定本制度。</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第二条 </w:t>
      </w:r>
      <w:r>
        <w:rPr>
          <w:rFonts w:hint="default" w:ascii="Times New Roman" w:hAnsi="Times New Roman" w:eastAsia="仿宋_GB2312" w:cs="Times New Roman"/>
          <w:sz w:val="32"/>
          <w:szCs w:val="32"/>
        </w:rPr>
        <w:t>本制度所称粮食行政处罚裁量权，是指</w:t>
      </w:r>
      <w:r>
        <w:rPr>
          <w:rFonts w:hint="default" w:ascii="Times New Roman" w:hAnsi="Times New Roman" w:eastAsia="仿宋_GB2312" w:cs="Times New Roman"/>
          <w:sz w:val="32"/>
          <w:szCs w:val="32"/>
          <w:lang w:eastAsia="zh-CN"/>
        </w:rPr>
        <w:t>粮食和储备行政管理部门</w:t>
      </w:r>
      <w:r>
        <w:rPr>
          <w:rFonts w:hint="default" w:ascii="Times New Roman" w:hAnsi="Times New Roman" w:eastAsia="仿宋_GB2312" w:cs="Times New Roman"/>
          <w:sz w:val="32"/>
          <w:szCs w:val="32"/>
        </w:rPr>
        <w:t>在实施行政处罚时，在法律、法规和规章规定的权限、种类和幅度范围内结合具体情形决定处理的权利。</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第三条 </w:t>
      </w:r>
      <w:r>
        <w:rPr>
          <w:rFonts w:hint="default" w:ascii="Times New Roman" w:hAnsi="Times New Roman" w:eastAsia="仿宋_GB2312" w:cs="Times New Roman"/>
          <w:sz w:val="32"/>
          <w:szCs w:val="32"/>
        </w:rPr>
        <w:t>行使粮食行政处罚裁量权应当遵循公平公正公开、处罚法定、过罚相当、处罚与教育相结合的原则，遵循法定程序，保障行政管理相对人的合法权益。</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xml:space="preserve"> 粮食行政处罚的种类：警告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罚款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没收违法所得</w:t>
      </w:r>
      <w:r>
        <w:rPr>
          <w:rFonts w:hint="default" w:ascii="Times New Roman" w:hAnsi="Times New Roman" w:eastAsia="仿宋_GB2312" w:cs="Times New Roman"/>
          <w:sz w:val="32"/>
          <w:szCs w:val="32"/>
          <w:lang w:eastAsia="zh-CN"/>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xml:space="preserve"> 粮食和储备行政管理部门实施行政处罚时，对同一违法行为涉及两种或两种以上行政处罚标准的，按照“上位法优于下位法”的原则执行；下位法在违法行为处罚的种类和幅度上与违法行为的性质、危害后果相适应，且上位法对实体违法行为未作规定的，可适用下位法。</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xml:space="preserve"> 行政处罚决定应当对违法行为的事实、性质、情节、社会危害程度等因素及最终选择的处罚种类、幅度等情况作出详细说明。</w:t>
      </w:r>
    </w:p>
    <w:p>
      <w:pPr>
        <w:numPr>
          <w:ilvl w:val="0"/>
          <w:numId w:val="1"/>
        </w:num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裁量权的适用</w:t>
      </w:r>
    </w:p>
    <w:p>
      <w:pPr>
        <w:spacing w:before="313" w:beforeLines="100" w:line="56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黑体" w:cs="Times New Roman"/>
          <w:sz w:val="32"/>
          <w:szCs w:val="32"/>
        </w:rPr>
        <w:t>第七</w:t>
      </w:r>
      <w:r>
        <w:rPr>
          <w:rFonts w:hint="default" w:ascii="Times New Roman" w:hAnsi="Times New Roman" w:eastAsia="黑体" w:cs="Times New Roman"/>
          <w:spacing w:val="6"/>
          <w:sz w:val="32"/>
          <w:szCs w:val="32"/>
        </w:rPr>
        <w:t>条</w:t>
      </w:r>
      <w:r>
        <w:rPr>
          <w:rFonts w:hint="default" w:ascii="Times New Roman" w:hAnsi="Times New Roman" w:eastAsia="仿宋_GB2312" w:cs="Times New Roman"/>
          <w:spacing w:val="6"/>
          <w:sz w:val="32"/>
          <w:szCs w:val="32"/>
        </w:rPr>
        <w:t xml:space="preserve"> </w:t>
      </w:r>
      <w:r>
        <w:rPr>
          <w:rFonts w:hint="default" w:ascii="Times New Roman" w:hAnsi="Times New Roman" w:eastAsia="仿宋_GB2312" w:cs="Times New Roman"/>
          <w:sz w:val="32"/>
          <w:szCs w:val="32"/>
        </w:rPr>
        <w:t>依</w:t>
      </w:r>
      <w:r>
        <w:rPr>
          <w:rFonts w:hint="default" w:ascii="Times New Roman" w:hAnsi="Times New Roman" w:eastAsia="仿宋_GB2312" w:cs="Times New Roman"/>
          <w:sz w:val="32"/>
          <w:szCs w:val="32"/>
          <w:u w:val="none"/>
        </w:rPr>
        <w:t>照法律、法规、规章设定的行政处罚幅度，根据违法行为的性质和造成的危害，分为不予处罚、从轻或减轻处罚、一般处罚和从重处罚。</w:t>
      </w:r>
    </w:p>
    <w:p>
      <w:pPr>
        <w:spacing w:line="56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不予处罚是指对本</w:t>
      </w:r>
      <w:r>
        <w:rPr>
          <w:rFonts w:hint="eastAsia" w:eastAsia="仿宋_GB2312" w:cs="Times New Roman"/>
          <w:sz w:val="32"/>
          <w:szCs w:val="32"/>
          <w:u w:val="none"/>
          <w:lang w:eastAsia="zh-CN"/>
        </w:rPr>
        <w:t>制度</w:t>
      </w:r>
      <w:r>
        <w:rPr>
          <w:rFonts w:hint="default" w:ascii="Times New Roman" w:hAnsi="Times New Roman" w:eastAsia="仿宋_GB2312" w:cs="Times New Roman"/>
          <w:sz w:val="32"/>
          <w:szCs w:val="32"/>
          <w:u w:val="none"/>
        </w:rPr>
        <w:t>第七条规定的情形不给予行政处罚。从轻处罚是指在法定处罚幅度范围内，适用较轻幅度的处罚。一般处罚是指介于从轻与从重处罚之间的处罚。从重处罚是指在法定处罚幅度范围内适用较重幅度的处罚。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选择不予处罚、从轻处罚、从重处罚的，应当有法律依据或者有能够证明当事人具有相应情节的证据，并依法履行相应的程序，在行政处罚告知书中告知拟不予处罚、从轻、从重处罚的事实、理由和依据。</w:t>
      </w:r>
    </w:p>
    <w:p>
      <w:pPr>
        <w:spacing w:line="560" w:lineRule="exact"/>
        <w:ind w:firstLine="640" w:firstLineChars="200"/>
        <w:rPr>
          <w:rFonts w:hint="default" w:ascii="Times New Roman" w:hAnsi="Times New Roman" w:eastAsia="仿宋_GB2312" w:cs="Times New Roman"/>
          <w:color w:val="FF0000"/>
          <w:spacing w:val="6"/>
          <w:sz w:val="32"/>
          <w:szCs w:val="32"/>
        </w:rPr>
      </w:pPr>
      <w:r>
        <w:rPr>
          <w:rFonts w:hint="default" w:ascii="Times New Roman" w:hAnsi="Times New Roman" w:eastAsia="黑体" w:cs="Times New Roman"/>
          <w:sz w:val="32"/>
          <w:szCs w:val="32"/>
        </w:rPr>
        <w:t>第</w:t>
      </w:r>
      <w:r>
        <w:rPr>
          <w:rFonts w:hint="eastAsia" w:eastAsia="黑体" w:cs="Times New Roman"/>
          <w:sz w:val="32"/>
          <w:szCs w:val="32"/>
          <w:lang w:eastAsia="zh-CN"/>
        </w:rPr>
        <w:t>八</w:t>
      </w:r>
      <w:r>
        <w:rPr>
          <w:rFonts w:hint="default" w:ascii="Times New Roman" w:hAnsi="Times New Roman" w:eastAsia="黑体" w:cs="Times New Roman"/>
          <w:spacing w:val="6"/>
          <w:sz w:val="32"/>
          <w:szCs w:val="32"/>
        </w:rPr>
        <w:t>条</w:t>
      </w:r>
      <w:r>
        <w:rPr>
          <w:rFonts w:hint="default" w:ascii="Times New Roman" w:hAnsi="Times New Roman" w:eastAsia="仿宋_GB2312" w:cs="Times New Roman"/>
          <w:spacing w:val="6"/>
          <w:sz w:val="32"/>
          <w:szCs w:val="32"/>
        </w:rPr>
        <w:t xml:space="preserve"> 有下列情形之一的，对粮食经营者依法不予行政处罚：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（一）违法行为轻微并及时纠正，没有造成危害后果的，不予行政处罚</w:t>
      </w:r>
      <w:r>
        <w:rPr>
          <w:rFonts w:hint="default" w:ascii="Times New Roman" w:hAnsi="Times New Roman" w:eastAsia="仿宋_GB2312" w:cs="Times New Roman"/>
          <w:sz w:val="32"/>
          <w:szCs w:val="32"/>
          <w:lang w:val="en-US" w:eastAsia="zh-CN"/>
        </w:rPr>
        <w:t>；</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（二）初次违法且危害后果轻微并及时改正的，可以不予行政处罚</w:t>
      </w:r>
      <w:r>
        <w:rPr>
          <w:rFonts w:hint="default" w:ascii="Times New Roman" w:hAnsi="Times New Roman" w:eastAsia="仿宋_GB2312" w:cs="Times New Roman"/>
          <w:sz w:val="32"/>
          <w:szCs w:val="32"/>
          <w:lang w:val="en-US" w:eastAsia="zh-CN"/>
        </w:rPr>
        <w:t>；</w:t>
      </w:r>
    </w:p>
    <w:p>
      <w:pPr>
        <w:spacing w:line="560" w:lineRule="exact"/>
        <w:ind w:firstLine="640"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pacing w:val="6"/>
          <w:kern w:val="0"/>
          <w:sz w:val="32"/>
          <w:szCs w:val="32"/>
        </w:rPr>
        <w:t>）当事人有证据足以证明没有主观过错的，不予行政处罚</w:t>
      </w:r>
      <w:r>
        <w:rPr>
          <w:rFonts w:hint="default" w:ascii="Times New Roman" w:hAnsi="Times New Roman" w:eastAsia="仿宋_GB2312" w:cs="Times New Roman"/>
          <w:spacing w:val="6"/>
          <w:kern w:val="0"/>
          <w:sz w:val="32"/>
          <w:szCs w:val="32"/>
          <w:lang w:val="en-US" w:eastAsia="zh-CN"/>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（四）违法行为在两年内未被发现的，不再给予行政处罚，但法律、法规另有规定的除外；</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（五）法律、法规、规章规定的其他应当不予处罚的情形。</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eastAsia" w:eastAsia="黑体" w:cs="Times New Roman"/>
          <w:sz w:val="32"/>
          <w:szCs w:val="32"/>
          <w:lang w:eastAsia="zh-CN"/>
        </w:rPr>
        <w:t>九</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粮食经营者违法行为有下列情形之一的，应当依法从轻或者减轻行政处罚：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（一）主动消除或者减轻违法行为危害后果的；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（二）受他人胁迫或者诱骗实施违法行为的；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（三）主动供述行政机关尚未掌握的违法行为的；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（四）配合行政机关查处违法行为有立功表现的；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（五）法律、法规、规章规定其他应当从轻或者减轻行政处罚的。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eastAsia" w:eastAsia="黑体" w:cs="Times New Roman"/>
          <w:sz w:val="32"/>
          <w:szCs w:val="32"/>
          <w:lang w:eastAsia="zh-CN"/>
        </w:rPr>
        <w:t>十</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粮食经营者违法行为有下列情形之一的，应当依法从重处罚：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（一）违法行为情节恶劣，严重扰乱粮食流通管理秩序和市场秩序并造成严重后果的；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（二）粮食和储备行政管理部门责</w:t>
      </w:r>
      <w:r>
        <w:rPr>
          <w:rFonts w:hint="default" w:ascii="Times New Roman" w:hAnsi="Times New Roman" w:eastAsia="仿宋_GB2312" w:cs="Times New Roman"/>
          <w:sz w:val="32"/>
          <w:szCs w:val="32"/>
          <w:u w:val="none"/>
        </w:rPr>
        <w:t>令整改，给予警告后，</w:t>
      </w:r>
      <w:r>
        <w:rPr>
          <w:rFonts w:hint="default" w:ascii="Times New Roman" w:hAnsi="Times New Roman" w:eastAsia="仿宋_GB2312" w:cs="Times New Roman"/>
          <w:sz w:val="32"/>
          <w:szCs w:val="32"/>
        </w:rPr>
        <w:t>继续实施违法行为的；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（三）多次实施违法行为、已受过行政处罚的；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（四）隐匿、销毁违法证据或者有其他妨碍执法行为的；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（五）擅自转移、隐匿已被采取行政强制措施物品的；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（六）对检举人、举报人打击报复的；</w:t>
      </w:r>
    </w:p>
    <w:p>
      <w:pPr>
        <w:spacing w:line="560"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（七</w:t>
      </w:r>
      <w:r>
        <w:rPr>
          <w:rFonts w:hint="default" w:ascii="Times New Roman" w:hAnsi="Times New Roman" w:eastAsia="仿宋_GB2312" w:cs="Times New Roman"/>
          <w:spacing w:val="6"/>
          <w:sz w:val="32"/>
          <w:szCs w:val="32"/>
        </w:rPr>
        <w:t>）在发生自然灾害、突发公共事件情况下实施违法行为的；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（八）其他依法从重处罚的情形。</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eastAsia" w:eastAsia="黑体" w:cs="Times New Roman"/>
          <w:sz w:val="32"/>
          <w:szCs w:val="32"/>
          <w:lang w:eastAsia="zh-CN"/>
        </w:rPr>
        <w:t>一</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做出从轻、减轻、从重处</w:t>
      </w:r>
      <w:r>
        <w:rPr>
          <w:rFonts w:hint="default" w:ascii="Times New Roman" w:hAnsi="Times New Roman" w:eastAsia="仿宋_GB2312" w:cs="Times New Roman"/>
          <w:sz w:val="32"/>
          <w:szCs w:val="32"/>
          <w:u w:val="none"/>
        </w:rPr>
        <w:t>罚决定的，或适用简易程序作出行政处罚的，在作出决定之日起15</w:t>
      </w:r>
      <w:r>
        <w:rPr>
          <w:rFonts w:hint="default" w:ascii="Times New Roman" w:hAnsi="Times New Roman" w:eastAsia="仿宋_GB2312" w:cs="Times New Roman"/>
          <w:sz w:val="32"/>
          <w:szCs w:val="32"/>
        </w:rPr>
        <w:t>日内将处罚决定书和必要的说明材料抄报上一级粮食和储备行政管理部门备案。</w:t>
      </w:r>
    </w:p>
    <w:p>
      <w:pPr>
        <w:spacing w:line="560" w:lineRule="exact"/>
        <w:ind w:firstLine="640" w:firstLineChars="200"/>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lang w:val="en-US"/>
        </w:rPr>
      </w:pPr>
      <w:r>
        <w:rPr>
          <w:rFonts w:hint="default" w:ascii="Times New Roman" w:hAnsi="Times New Roman" w:eastAsia="黑体" w:cs="Times New Roman"/>
          <w:sz w:val="32"/>
          <w:szCs w:val="32"/>
        </w:rPr>
        <w:t>第三章 裁量权的</w:t>
      </w:r>
      <w:r>
        <w:rPr>
          <w:rFonts w:hint="default" w:ascii="Times New Roman" w:hAnsi="Times New Roman" w:eastAsia="黑体" w:cs="Times New Roman"/>
          <w:sz w:val="32"/>
          <w:szCs w:val="32"/>
          <w:lang w:val="en-US" w:eastAsia="zh-CN"/>
        </w:rPr>
        <w:t>监督</w:t>
      </w:r>
    </w:p>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eastAsia" w:eastAsia="黑体" w:cs="Times New Roman"/>
          <w:sz w:val="32"/>
          <w:szCs w:val="32"/>
          <w:lang w:eastAsia="zh-CN"/>
        </w:rPr>
        <w:t>二</w:t>
      </w:r>
      <w:r>
        <w:rPr>
          <w:rFonts w:hint="default" w:ascii="Times New Roman" w:hAnsi="Times New Roman" w:eastAsia="黑体" w:cs="Times New Roman"/>
          <w:sz w:val="32"/>
          <w:szCs w:val="32"/>
        </w:rPr>
        <w:t>条</w:t>
      </w:r>
      <w:r>
        <w:rPr>
          <w:rFonts w:hint="default" w:ascii="Times New Roman" w:hAnsi="Times New Roman" w:eastAsia="仿宋_GB2312" w:cs="Times New Roman"/>
          <w:b/>
          <w:bCs/>
          <w:sz w:val="32"/>
          <w:szCs w:val="32"/>
        </w:rPr>
        <w:t xml:space="preserve"> </w:t>
      </w:r>
      <w:r>
        <w:rPr>
          <w:rFonts w:hint="default" w:ascii="Times New Roman" w:hAnsi="Times New Roman" w:eastAsia="仿宋_GB2312" w:cs="Times New Roman"/>
          <w:sz w:val="32"/>
          <w:szCs w:val="32"/>
        </w:rPr>
        <w:t>粮食和储备行政管理部门</w:t>
      </w:r>
      <w:r>
        <w:rPr>
          <w:rFonts w:hint="default"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当建立健全对行政处罚的监督制度。</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）查处分离制度。</w:t>
      </w:r>
      <w:r>
        <w:rPr>
          <w:rFonts w:hint="default" w:ascii="Times New Roman" w:hAnsi="Times New Roman" w:eastAsia="仿宋_GB2312" w:cs="Times New Roman"/>
          <w:sz w:val="32"/>
          <w:szCs w:val="32"/>
        </w:rPr>
        <w:t>将</w:t>
      </w:r>
      <w:r>
        <w:rPr>
          <w:rFonts w:hint="default" w:ascii="Times New Roman" w:hAnsi="Times New Roman" w:eastAsia="仿宋_GB2312" w:cs="Times New Roman"/>
          <w:sz w:val="32"/>
          <w:szCs w:val="32"/>
          <w:lang w:val="en-US" w:eastAsia="zh-CN"/>
        </w:rPr>
        <w:t>粮食</w:t>
      </w:r>
      <w:r>
        <w:rPr>
          <w:rFonts w:hint="default" w:ascii="Times New Roman" w:hAnsi="Times New Roman" w:eastAsia="仿宋_GB2312" w:cs="Times New Roman"/>
          <w:sz w:val="32"/>
          <w:szCs w:val="32"/>
        </w:rPr>
        <w:t>执法的调查、审核、决定、执行等职能进行相对分离，建立既相互协调、又相互制约的权力运行机制。</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执法回避制度。</w:t>
      </w:r>
      <w:r>
        <w:rPr>
          <w:rFonts w:hint="default" w:ascii="Times New Roman" w:hAnsi="Times New Roman" w:eastAsia="仿宋_GB2312" w:cs="Times New Roman"/>
          <w:sz w:val="32"/>
          <w:szCs w:val="32"/>
        </w:rPr>
        <w:t>执法人员与其所管理事项或者当事人有直接利害关系、可能影响公平公正处理的，不得参与相关案件的调查和处理。</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eastAsia="zh-CN"/>
        </w:rPr>
        <w:t>执法公示制度。</w:t>
      </w:r>
      <w:r>
        <w:rPr>
          <w:rFonts w:hint="default" w:ascii="Times New Roman" w:hAnsi="Times New Roman" w:eastAsia="仿宋_GB2312" w:cs="Times New Roman"/>
          <w:sz w:val="32"/>
          <w:szCs w:val="32"/>
        </w:rPr>
        <w:t>强化事前、事后公开，向社会主动公开</w:t>
      </w:r>
      <w:r>
        <w:rPr>
          <w:rFonts w:hint="default" w:ascii="Times New Roman" w:hAnsi="Times New Roman" w:eastAsia="仿宋_GB2312" w:cs="Times New Roman"/>
          <w:sz w:val="32"/>
          <w:szCs w:val="32"/>
          <w:lang w:val="en-US" w:eastAsia="zh-CN"/>
        </w:rPr>
        <w:t>涉粮</w:t>
      </w:r>
      <w:r>
        <w:rPr>
          <w:rFonts w:hint="default" w:ascii="Times New Roman" w:hAnsi="Times New Roman" w:eastAsia="仿宋_GB2312" w:cs="Times New Roman"/>
          <w:sz w:val="32"/>
          <w:szCs w:val="32"/>
        </w:rPr>
        <w:t>法律法规、行政执法决定等信息，接受社会监督。</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eastAsia="zh-CN"/>
        </w:rPr>
        <w:t>执法全过程记录制度。</w:t>
      </w:r>
      <w:r>
        <w:rPr>
          <w:rFonts w:hint="default" w:ascii="Times New Roman" w:hAnsi="Times New Roman" w:eastAsia="仿宋_GB2312" w:cs="Times New Roman"/>
          <w:sz w:val="32"/>
          <w:szCs w:val="32"/>
        </w:rPr>
        <w:t>对立案、调查、审查、决定、执行程序以及执法时间、地点、对象、事实、结果等做出详细记录，并全面系统归档保存，实现全过程留痕和可回溯管理。</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eastAsia="zh-CN"/>
        </w:rPr>
        <w:t>重大执法决定法制审核制度。</w:t>
      </w:r>
      <w:r>
        <w:rPr>
          <w:rFonts w:hint="default" w:ascii="Times New Roman" w:hAnsi="Times New Roman" w:eastAsia="仿宋_GB2312" w:cs="Times New Roman"/>
          <w:sz w:val="32"/>
          <w:szCs w:val="32"/>
        </w:rPr>
        <w:t>对涉及重大公共利益，可能造成重大社会影响或引发社会风险，直接关系行政相对人或第三人重大权益，经过听证程序作出行政执法决定，以及案件情况疑难复杂、涉及多个法律关系的案件，设立专门机构和人员进行严格法制审核。</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六）</w:t>
      </w:r>
      <w:r>
        <w:rPr>
          <w:rFonts w:hint="default" w:ascii="Times New Roman" w:hAnsi="Times New Roman" w:eastAsia="楷体_GB2312" w:cs="Times New Roman"/>
          <w:b/>
          <w:bCs/>
          <w:sz w:val="32"/>
          <w:szCs w:val="32"/>
          <w:lang w:eastAsia="zh-CN"/>
        </w:rPr>
        <w:t>案卷评查制度。</w:t>
      </w:r>
      <w:r>
        <w:rPr>
          <w:rFonts w:hint="default" w:ascii="Times New Roman" w:hAnsi="Times New Roman" w:eastAsia="仿宋_GB2312" w:cs="Times New Roman"/>
          <w:sz w:val="32"/>
          <w:szCs w:val="32"/>
        </w:rPr>
        <w:t>上级</w:t>
      </w:r>
      <w:r>
        <w:rPr>
          <w:rFonts w:hint="default" w:ascii="Times New Roman" w:hAnsi="Times New Roman" w:eastAsia="仿宋_GB2312" w:cs="Times New Roman"/>
          <w:sz w:val="32"/>
          <w:szCs w:val="32"/>
          <w:lang w:val="en-US" w:eastAsia="zh-CN"/>
        </w:rPr>
        <w:t>粮食和储备</w:t>
      </w:r>
      <w:r>
        <w:rPr>
          <w:rFonts w:hint="eastAsia" w:eastAsia="仿宋_GB2312" w:cs="Times New Roman"/>
          <w:sz w:val="32"/>
          <w:szCs w:val="32"/>
          <w:lang w:val="en-US" w:eastAsia="zh-CN"/>
        </w:rPr>
        <w:t>行政管理</w:t>
      </w:r>
      <w:r>
        <w:rPr>
          <w:rFonts w:hint="default" w:ascii="Times New Roman" w:hAnsi="Times New Roman" w:eastAsia="仿宋_GB2312" w:cs="Times New Roman"/>
          <w:sz w:val="32"/>
          <w:szCs w:val="32"/>
        </w:rPr>
        <w:t>部门可以结合工作实际，组织对下级部门的行政执法案卷评查，将案卷质量高低作为衡量执法水平的重要依据。</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七）</w:t>
      </w:r>
      <w:r>
        <w:rPr>
          <w:rFonts w:hint="default" w:ascii="Times New Roman" w:hAnsi="Times New Roman" w:eastAsia="楷体_GB2312" w:cs="Times New Roman"/>
          <w:b/>
          <w:bCs/>
          <w:sz w:val="32"/>
          <w:szCs w:val="32"/>
        </w:rPr>
        <w:t>裁量判例制度。</w:t>
      </w:r>
      <w:r>
        <w:rPr>
          <w:rFonts w:hint="default" w:ascii="Times New Roman" w:hAnsi="Times New Roman" w:eastAsia="仿宋_GB2312" w:cs="Times New Roman"/>
          <w:sz w:val="32"/>
          <w:szCs w:val="32"/>
        </w:rPr>
        <w:t>针对常见</w:t>
      </w:r>
      <w:r>
        <w:rPr>
          <w:rFonts w:hint="default" w:ascii="Times New Roman" w:hAnsi="Times New Roman" w:eastAsia="仿宋_GB2312" w:cs="Times New Roman"/>
          <w:sz w:val="32"/>
          <w:szCs w:val="32"/>
          <w:lang w:val="en-US" w:eastAsia="zh-CN"/>
        </w:rPr>
        <w:t>涉粮</w:t>
      </w:r>
      <w:r>
        <w:rPr>
          <w:rFonts w:hint="default" w:ascii="Times New Roman" w:hAnsi="Times New Roman" w:eastAsia="仿宋_GB2312" w:cs="Times New Roman"/>
          <w:sz w:val="32"/>
          <w:szCs w:val="32"/>
        </w:rPr>
        <w:t>违法行为，确定一批裁量权尺度把握适当的典型案例，为行政处罚裁量权的行使提供参照。</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eastAsia" w:eastAsia="黑体" w:cs="Times New Roman"/>
          <w:sz w:val="32"/>
          <w:szCs w:val="32"/>
          <w:lang w:val="en-US" w:eastAsia="zh-CN"/>
        </w:rPr>
        <w:t>三</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b w:val="0"/>
          <w:bCs w:val="0"/>
          <w:sz w:val="32"/>
          <w:szCs w:val="32"/>
          <w:lang w:val="en-US" w:eastAsia="zh-CN"/>
        </w:rPr>
        <w:t>粮食和储备</w:t>
      </w:r>
      <w:r>
        <w:rPr>
          <w:rFonts w:hint="eastAsia" w:eastAsia="仿宋_GB2312" w:cs="Times New Roman"/>
          <w:b w:val="0"/>
          <w:bCs w:val="0"/>
          <w:sz w:val="32"/>
          <w:szCs w:val="32"/>
          <w:lang w:val="en-US" w:eastAsia="zh-CN"/>
        </w:rPr>
        <w:t>行政</w:t>
      </w:r>
      <w:r>
        <w:rPr>
          <w:rFonts w:hint="default" w:ascii="Times New Roman" w:hAnsi="Times New Roman" w:eastAsia="仿宋_GB2312" w:cs="Times New Roman"/>
          <w:b w:val="0"/>
          <w:bCs w:val="0"/>
          <w:sz w:val="32"/>
          <w:szCs w:val="32"/>
          <w:lang w:val="en-US" w:eastAsia="zh-CN"/>
        </w:rPr>
        <w:t>管理部门</w:t>
      </w:r>
      <w:r>
        <w:rPr>
          <w:rFonts w:hint="default" w:ascii="Times New Roman" w:hAnsi="Times New Roman" w:eastAsia="仿宋_GB2312" w:cs="Times New Roman"/>
          <w:sz w:val="32"/>
          <w:szCs w:val="32"/>
        </w:rPr>
        <w:t>实施行政处罚，擅自改变行政处罚种类、幅度的</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由上级行政机关或者有关机关责令改正，对直接负责的主管人员和其他直接责任人员依法给予处分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行政执法人员在裁量过程中，有违法行为涉嫌犯罪的，应及时向司法机关移送。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eastAsia" w:eastAsia="黑体" w:cs="Times New Roman"/>
          <w:sz w:val="32"/>
          <w:szCs w:val="32"/>
          <w:lang w:val="en-US" w:eastAsia="zh-CN"/>
        </w:rPr>
        <w:t>四</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本制度由</w:t>
      </w:r>
      <w:r>
        <w:rPr>
          <w:rFonts w:hint="eastAsia" w:eastAsia="仿宋_GB2312" w:cs="Times New Roman"/>
          <w:sz w:val="32"/>
          <w:szCs w:val="32"/>
          <w:lang w:eastAsia="zh-CN"/>
        </w:rPr>
        <w:t>宁夏回族</w:t>
      </w:r>
      <w:r>
        <w:rPr>
          <w:rFonts w:hint="default" w:ascii="Times New Roman" w:hAnsi="Times New Roman" w:eastAsia="仿宋_GB2312" w:cs="Times New Roman"/>
          <w:sz w:val="32"/>
          <w:szCs w:val="32"/>
          <w:lang w:val="en-US" w:eastAsia="zh-CN"/>
        </w:rPr>
        <w:t>自治区</w:t>
      </w:r>
      <w:r>
        <w:rPr>
          <w:rFonts w:hint="default" w:ascii="Times New Roman" w:hAnsi="Times New Roman" w:eastAsia="仿宋_GB2312" w:cs="Times New Roman"/>
          <w:sz w:val="32"/>
          <w:szCs w:val="32"/>
        </w:rPr>
        <w:t>粮食和物资储备局负责解释。</w:t>
      </w:r>
    </w:p>
    <w:p>
      <w:pPr>
        <w:spacing w:line="560" w:lineRule="exact"/>
        <w:ind w:firstLine="640" w:firstLineChars="200"/>
        <w:rPr>
          <w:sz w:val="32"/>
          <w:szCs w:val="32"/>
        </w:rPr>
      </w:pPr>
      <w:r>
        <w:rPr>
          <w:rFonts w:hint="default" w:ascii="Times New Roman" w:hAnsi="Times New Roman" w:eastAsia="黑体" w:cs="Times New Roman"/>
          <w:sz w:val="32"/>
          <w:szCs w:val="32"/>
        </w:rPr>
        <w:t>第十</w:t>
      </w:r>
      <w:r>
        <w:rPr>
          <w:rFonts w:hint="eastAsia" w:eastAsia="黑体" w:cs="Times New Roman"/>
          <w:sz w:val="32"/>
          <w:szCs w:val="32"/>
          <w:lang w:eastAsia="zh-CN"/>
        </w:rPr>
        <w:t>五</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本制度自</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日起施行</w:t>
      </w:r>
      <w:r>
        <w:rPr>
          <w:rFonts w:hint="eastAsia" w:eastAsia="仿宋_GB2312" w:cs="Times New Roman"/>
          <w:sz w:val="32"/>
          <w:szCs w:val="32"/>
          <w:lang w:eastAsia="zh-CN"/>
        </w:rPr>
        <w:t>，有效期至</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r>
        <w:rPr>
          <w:rFonts w:hint="eastAsia" w:eastAsia="仿宋_GB2312" w:cs="Times New Roman"/>
          <w:sz w:val="32"/>
          <w:szCs w:val="3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EB022"/>
    <w:multiLevelType w:val="singleLevel"/>
    <w:tmpl w:val="DDFEB022"/>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YjY0NTBmZGQzNGVkOGFiYmRmYWI5M2U5NDY5MmUifQ=="/>
  </w:docVars>
  <w:rsids>
    <w:rsidRoot w:val="2FF9702D"/>
    <w:rsid w:val="2FF97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jc w:val="center"/>
    </w:pPr>
    <w:rPr>
      <w:rFonts w:ascii="方正小标宋简体" w:hAnsi="Calibri" w:eastAsia="方正小标宋简体" w:cs="Times New Roman"/>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2023-11-23T03:11:00Z</dcterms:created>
  <dc:creator>拉欣</dc:creator>
  <cp:lastModifiedBy>拉欣</cp:lastModifiedBy>
  <dcterms:modified xsi:type="dcterms:W3CDTF">2023-11-23T03:14:05Z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8431A20BAB8F4D81AC78D2E4E13F594B_11</vt:lpwstr>
  </property>
</Properties>
</file>