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519EB">
      <w:pPr>
        <w:spacing w:before="100" w:line="223" w:lineRule="auto"/>
        <w:ind w:left="275"/>
        <w:rPr>
          <w:rFonts w:ascii="Times New Roman" w:hAnsi="Times New Roman" w:eastAsia="Times New Roman" w:cs="Times New Roman"/>
          <w:sz w:val="31"/>
          <w:szCs w:val="31"/>
        </w:rPr>
      </w:pPr>
      <w:bookmarkStart w:id="0" w:name="_GoBack"/>
      <w:bookmarkEnd w:id="0"/>
      <w:r>
        <w:rPr>
          <w:rFonts w:ascii="黑体" w:hAnsi="黑体" w:eastAsia="黑体" w:cs="黑体"/>
          <w:spacing w:val="-12"/>
          <w:sz w:val="31"/>
          <w:szCs w:val="31"/>
        </w:rPr>
        <w:t>附件</w:t>
      </w:r>
      <w:r>
        <w:rPr>
          <w:rFonts w:ascii="黑体" w:hAnsi="黑体" w:eastAsia="黑体" w:cs="黑体"/>
          <w:spacing w:val="-85"/>
          <w:sz w:val="31"/>
          <w:szCs w:val="31"/>
        </w:rPr>
        <w:t xml:space="preserve"> </w:t>
      </w:r>
      <w:r>
        <w:rPr>
          <w:rFonts w:ascii="Times New Roman" w:hAnsi="Times New Roman" w:eastAsia="Times New Roman" w:cs="Times New Roman"/>
          <w:spacing w:val="-12"/>
          <w:sz w:val="31"/>
          <w:szCs w:val="31"/>
        </w:rPr>
        <w:t>3</w:t>
      </w:r>
    </w:p>
    <w:p w14:paraId="250466D1">
      <w:pPr>
        <w:pStyle w:val="2"/>
        <w:spacing w:before="140" w:line="231" w:lineRule="auto"/>
        <w:ind w:left="2774"/>
        <w:rPr>
          <w:sz w:val="43"/>
          <w:szCs w:val="43"/>
        </w:rPr>
      </w:pPr>
      <w:r>
        <w:rPr>
          <w:spacing w:val="-7"/>
          <w:sz w:val="43"/>
          <w:szCs w:val="43"/>
          <w14:textOutline w14:w="6350" w14:cap="flat" w14:cmpd="sng">
            <w14:solidFill>
              <w14:srgbClr w14:val="000000"/>
            </w14:solidFill>
            <w14:prstDash w14:val="solid"/>
            <w14:miter w14:val="0"/>
          </w14:textOutline>
        </w:rPr>
        <w:t>检验检测机构资质认定</w:t>
      </w:r>
    </w:p>
    <w:p w14:paraId="2A685E9E">
      <w:pPr>
        <w:pStyle w:val="2"/>
        <w:spacing w:line="569" w:lineRule="exact"/>
        <w:ind w:left="2572"/>
        <w:rPr>
          <w:sz w:val="43"/>
          <w:szCs w:val="43"/>
        </w:rPr>
      </w:pPr>
      <w:r>
        <w:rPr>
          <w:spacing w:val="-7"/>
          <w:position w:val="1"/>
          <w:sz w:val="43"/>
          <w:szCs w:val="43"/>
          <w14:textOutline w14:w="6350" w14:cap="flat" w14:cmpd="sng">
            <w14:solidFill>
              <w14:srgbClr w14:val="000000"/>
            </w14:solidFill>
            <w14:prstDash w14:val="solid"/>
            <w14:miter w14:val="0"/>
          </w14:textOutline>
        </w:rPr>
        <w:t>标准（方法）变更备案表</w:t>
      </w:r>
    </w:p>
    <w:p w14:paraId="670634F3">
      <w:pPr>
        <w:spacing w:line="271" w:lineRule="auto"/>
        <w:rPr>
          <w:rFonts w:ascii="Arial"/>
          <w:sz w:val="21"/>
        </w:rPr>
      </w:pPr>
    </w:p>
    <w:p w14:paraId="4EB45B0B">
      <w:pPr>
        <w:spacing w:line="272" w:lineRule="auto"/>
        <w:rPr>
          <w:rFonts w:ascii="Arial"/>
          <w:sz w:val="21"/>
        </w:rPr>
      </w:pPr>
    </w:p>
    <w:p w14:paraId="4264FFC0">
      <w:pPr>
        <w:spacing w:line="33" w:lineRule="exact"/>
        <w:rPr>
          <w:color w:val="000000" w:themeColor="text1"/>
          <w14:textFill>
            <w14:solidFill>
              <w14:schemeClr w14:val="tx1"/>
            </w14:solidFill>
          </w14:textFill>
        </w:rPr>
      </w:pPr>
    </w:p>
    <w:tbl>
      <w:tblPr>
        <w:tblStyle w:val="7"/>
        <w:tblW w:w="10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1"/>
        <w:gridCol w:w="948"/>
        <w:gridCol w:w="631"/>
        <w:gridCol w:w="2056"/>
        <w:gridCol w:w="2171"/>
        <w:gridCol w:w="219"/>
        <w:gridCol w:w="399"/>
        <w:gridCol w:w="3054"/>
      </w:tblGrid>
      <w:tr w14:paraId="56D1A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1" w:hRule="atLeast"/>
        </w:trPr>
        <w:tc>
          <w:tcPr>
            <w:tcW w:w="1509" w:type="dxa"/>
            <w:gridSpan w:val="2"/>
            <w:vAlign w:val="top"/>
          </w:tcPr>
          <w:p w14:paraId="230DDC7C">
            <w:pPr>
              <w:spacing w:line="257" w:lineRule="auto"/>
              <w:rPr>
                <w:rFonts w:ascii="Arial"/>
                <w:sz w:val="21"/>
              </w:rPr>
            </w:pPr>
          </w:p>
          <w:p w14:paraId="2B593DA3">
            <w:pPr>
              <w:pStyle w:val="8"/>
              <w:spacing w:before="78" w:line="262" w:lineRule="auto"/>
              <w:ind w:left="316" w:right="286"/>
              <w:jc w:val="center"/>
            </w:pPr>
            <w:r>
              <w:rPr>
                <w:spacing w:val="-17"/>
              </w:rPr>
              <w:t>检验检测</w:t>
            </w:r>
            <w:r>
              <w:rPr>
                <w:spacing w:val="2"/>
              </w:rPr>
              <w:t xml:space="preserve"> </w:t>
            </w:r>
            <w:r>
              <w:rPr>
                <w:spacing w:val="-16"/>
              </w:rPr>
              <w:t>机构名称</w:t>
            </w:r>
          </w:p>
        </w:tc>
        <w:tc>
          <w:tcPr>
            <w:tcW w:w="8530" w:type="dxa"/>
            <w:gridSpan w:val="6"/>
            <w:vAlign w:val="top"/>
          </w:tcPr>
          <w:p w14:paraId="3924F2DB">
            <w:pPr>
              <w:spacing w:line="241" w:lineRule="auto"/>
              <w:rPr>
                <w:rFonts w:ascii="Arial"/>
                <w:sz w:val="21"/>
              </w:rPr>
            </w:pPr>
          </w:p>
          <w:p w14:paraId="7E6F2FDE">
            <w:pPr>
              <w:spacing w:line="241" w:lineRule="auto"/>
              <w:rPr>
                <w:rFonts w:ascii="Arial"/>
                <w:sz w:val="21"/>
              </w:rPr>
            </w:pPr>
          </w:p>
          <w:p w14:paraId="4FD82DA1">
            <w:pPr>
              <w:spacing w:line="242" w:lineRule="auto"/>
              <w:ind w:firstLine="840" w:firstLineChars="3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宁夏回族自治区粮油产品质量检测中心 </w:t>
            </w:r>
          </w:p>
          <w:p w14:paraId="734729BE">
            <w:pPr>
              <w:spacing w:line="242" w:lineRule="auto"/>
              <w:rPr>
                <w:rFonts w:hint="default" w:ascii="Times New Roman" w:hAnsi="Times New Roman" w:eastAsia="仿宋_GB2312" w:cs="Times New Roman"/>
                <w:sz w:val="28"/>
                <w:szCs w:val="28"/>
              </w:rPr>
            </w:pPr>
          </w:p>
          <w:p w14:paraId="62C2EA37">
            <w:pPr>
              <w:pStyle w:val="8"/>
              <w:spacing w:before="78" w:line="218" w:lineRule="auto"/>
              <w:ind w:left="5276" w:firstLine="250" w:firstLineChars="100"/>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pacing w:val="-15"/>
                <w:sz w:val="28"/>
                <w:szCs w:val="28"/>
                <w14:textFill>
                  <w14:solidFill>
                    <w14:schemeClr w14:val="tx1"/>
                  </w14:solidFill>
                </w14:textFill>
              </w:rPr>
              <w:t>（印章）</w:t>
            </w:r>
          </w:p>
          <w:p w14:paraId="746CCD0B">
            <w:pPr>
              <w:pStyle w:val="8"/>
              <w:spacing w:before="114" w:line="219" w:lineRule="auto"/>
              <w:ind w:left="5093" w:leftChars="0"/>
              <w:rPr>
                <w:rFonts w:ascii="宋体" w:hAnsi="宋体" w:eastAsia="宋体" w:cs="宋体"/>
                <w:snapToGrid w:val="0"/>
                <w:color w:val="000000"/>
                <w:kern w:val="0"/>
                <w:sz w:val="24"/>
                <w:szCs w:val="24"/>
                <w:lang w:val="en-US" w:eastAsia="en-US" w:bidi="ar-SA"/>
              </w:rPr>
            </w:pPr>
            <w:r>
              <w:rPr>
                <w:rFonts w:hint="default" w:ascii="Times New Roman" w:hAnsi="Times New Roman" w:eastAsia="仿宋_GB2312" w:cs="Times New Roman"/>
                <w:color w:val="000000" w:themeColor="text1"/>
                <w:spacing w:val="0"/>
                <w:sz w:val="28"/>
                <w:szCs w:val="28"/>
                <w:lang w:val="en-US" w:eastAsia="zh-CN"/>
                <w14:textFill>
                  <w14:solidFill>
                    <w14:schemeClr w14:val="tx1"/>
                  </w14:solidFill>
                </w14:textFill>
              </w:rPr>
              <w:t>202</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6</w:t>
            </w:r>
            <w:r>
              <w:rPr>
                <w:rFonts w:hint="default" w:ascii="Times New Roman" w:hAnsi="Times New Roman" w:eastAsia="仿宋_GB2312" w:cs="Times New Roman"/>
                <w:color w:val="000000" w:themeColor="text1"/>
                <w:spacing w:val="0"/>
                <w:sz w:val="28"/>
                <w:szCs w:val="28"/>
                <w14:textFill>
                  <w14:solidFill>
                    <w14:schemeClr w14:val="tx1"/>
                  </w14:solidFill>
                </w14:textFill>
              </w:rPr>
              <w:t>年</w:t>
            </w:r>
            <w:r>
              <w:rPr>
                <w:rFonts w:hint="default" w:ascii="Times New Roman" w:hAnsi="Times New Roman" w:eastAsia="仿宋_GB2312" w:cs="Times New Roman"/>
                <w:color w:val="000000" w:themeColor="text1"/>
                <w:spacing w:val="0"/>
                <w:sz w:val="28"/>
                <w:szCs w:val="28"/>
                <w:lang w:val="en-US" w:eastAsia="zh-CN"/>
                <w14:textFill>
                  <w14:solidFill>
                    <w14:schemeClr w14:val="tx1"/>
                  </w14:solidFill>
                </w14:textFill>
              </w:rPr>
              <w:t>0</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5</w:t>
            </w:r>
            <w:r>
              <w:rPr>
                <w:rFonts w:hint="default" w:ascii="Times New Roman" w:hAnsi="Times New Roman" w:eastAsia="仿宋_GB2312" w:cs="Times New Roman"/>
                <w:color w:val="000000" w:themeColor="text1"/>
                <w:spacing w:val="0"/>
                <w:sz w:val="28"/>
                <w:szCs w:val="28"/>
                <w14:textFill>
                  <w14:solidFill>
                    <w14:schemeClr w14:val="tx1"/>
                  </w14:solidFill>
                </w14:textFill>
              </w:rPr>
              <w:t>月</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08</w:t>
            </w:r>
            <w:r>
              <w:rPr>
                <w:rFonts w:hint="default" w:ascii="Times New Roman" w:hAnsi="Times New Roman" w:eastAsia="仿宋_GB2312" w:cs="Times New Roman"/>
                <w:color w:val="000000" w:themeColor="text1"/>
                <w:spacing w:val="0"/>
                <w:sz w:val="28"/>
                <w:szCs w:val="28"/>
                <w14:textFill>
                  <w14:solidFill>
                    <w14:schemeClr w14:val="tx1"/>
                  </w14:solidFill>
                </w14:textFill>
              </w:rPr>
              <w:t>日</w:t>
            </w:r>
          </w:p>
        </w:tc>
      </w:tr>
      <w:tr w14:paraId="5E3D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509" w:type="dxa"/>
            <w:gridSpan w:val="2"/>
            <w:vAlign w:val="center"/>
          </w:tcPr>
          <w:p w14:paraId="1546345B">
            <w:pPr>
              <w:pStyle w:val="8"/>
              <w:keepNext w:val="0"/>
              <w:keepLines w:val="0"/>
              <w:pageBreakBefore w:val="0"/>
              <w:widowControl/>
              <w:kinsoku w:val="0"/>
              <w:wordWrap/>
              <w:overflowPunct/>
              <w:topLinePunct w:val="0"/>
              <w:autoSpaceDE w:val="0"/>
              <w:autoSpaceDN w:val="0"/>
              <w:bidi w:val="0"/>
              <w:adjustRightInd w:val="0"/>
              <w:snapToGrid w:val="0"/>
              <w:spacing w:line="218" w:lineRule="auto"/>
              <w:ind w:left="0"/>
              <w:jc w:val="center"/>
              <w:textAlignment w:val="baseline"/>
            </w:pPr>
            <w:r>
              <w:rPr>
                <w:spacing w:val="-12"/>
              </w:rPr>
              <w:t>证书编号</w:t>
            </w:r>
          </w:p>
        </w:tc>
        <w:tc>
          <w:tcPr>
            <w:tcW w:w="2687" w:type="dxa"/>
            <w:gridSpan w:val="2"/>
            <w:vAlign w:val="center"/>
          </w:tcPr>
          <w:p w14:paraId="4EA02637">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hint="default" w:ascii="Arial" w:hAnsi="Arial" w:eastAsia="宋体" w:cs="Arial"/>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223000170100</w:t>
            </w:r>
          </w:p>
        </w:tc>
        <w:tc>
          <w:tcPr>
            <w:tcW w:w="2390" w:type="dxa"/>
            <w:gridSpan w:val="2"/>
            <w:vAlign w:val="center"/>
          </w:tcPr>
          <w:p w14:paraId="1B448BFC">
            <w:pPr>
              <w:pStyle w:val="8"/>
              <w:keepNext w:val="0"/>
              <w:keepLines w:val="0"/>
              <w:pageBreakBefore w:val="0"/>
              <w:widowControl/>
              <w:kinsoku w:val="0"/>
              <w:wordWrap/>
              <w:overflowPunct/>
              <w:topLinePunct w:val="0"/>
              <w:autoSpaceDE w:val="0"/>
              <w:autoSpaceDN w:val="0"/>
              <w:bidi w:val="0"/>
              <w:adjustRightInd w:val="0"/>
              <w:snapToGrid w:val="0"/>
              <w:spacing w:line="219" w:lineRule="auto"/>
              <w:ind w:left="0" w:leftChars="0"/>
              <w:jc w:val="center"/>
              <w:textAlignment w:val="baseline"/>
              <w:rPr>
                <w:rFonts w:ascii="宋体" w:hAnsi="宋体" w:eastAsia="宋体" w:cs="宋体"/>
                <w:snapToGrid w:val="0"/>
                <w:color w:val="000000" w:themeColor="text1"/>
                <w:kern w:val="0"/>
                <w:sz w:val="24"/>
                <w:szCs w:val="24"/>
                <w:lang w:val="en-US" w:eastAsia="en-US" w:bidi="ar-SA"/>
                <w14:textFill>
                  <w14:solidFill>
                    <w14:schemeClr w14:val="tx1"/>
                  </w14:solidFill>
                </w14:textFill>
              </w:rPr>
            </w:pPr>
            <w:r>
              <w:rPr>
                <w:color w:val="000000" w:themeColor="text1"/>
                <w:spacing w:val="-12"/>
                <w:sz w:val="24"/>
                <w:szCs w:val="24"/>
                <w14:textFill>
                  <w14:solidFill>
                    <w14:schemeClr w14:val="tx1"/>
                  </w14:solidFill>
                </w14:textFill>
              </w:rPr>
              <w:t>有效期限</w:t>
            </w:r>
          </w:p>
        </w:tc>
        <w:tc>
          <w:tcPr>
            <w:tcW w:w="3453" w:type="dxa"/>
            <w:gridSpan w:val="2"/>
            <w:vAlign w:val="center"/>
          </w:tcPr>
          <w:p w14:paraId="0491E9A0">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hint="default" w:ascii="Arial" w:hAnsi="Arial" w:eastAsia="宋体" w:cs="Arial"/>
                <w:snapToGrid w:val="0"/>
                <w:color w:val="000000" w:themeColor="text1"/>
                <w:kern w:val="0"/>
                <w:sz w:val="24"/>
                <w:szCs w:val="24"/>
                <w:lang w:val="en-US" w:eastAsia="zh-CN" w:bidi="ar-SA"/>
                <w14:textFill>
                  <w14:solidFill>
                    <w14:schemeClr w14:val="tx1"/>
                  </w14:solidFill>
                </w14:textFill>
              </w:rPr>
            </w:pPr>
            <w:r>
              <w:rPr>
                <w:rFonts w:hint="eastAsia" w:eastAsia="宋体"/>
                <w:color w:val="000000" w:themeColor="text1"/>
                <w:sz w:val="24"/>
                <w:szCs w:val="24"/>
                <w:lang w:val="en-US" w:eastAsia="zh-CN"/>
                <w14:textFill>
                  <w14:solidFill>
                    <w14:schemeClr w14:val="tx1"/>
                  </w14:solidFill>
                </w14:textFill>
              </w:rPr>
              <w:t>二〇二八年三月一日</w:t>
            </w:r>
          </w:p>
        </w:tc>
      </w:tr>
      <w:tr w14:paraId="42012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509" w:type="dxa"/>
            <w:gridSpan w:val="2"/>
            <w:vAlign w:val="center"/>
          </w:tcPr>
          <w:p w14:paraId="1331DB31">
            <w:pPr>
              <w:pStyle w:val="8"/>
              <w:keepNext w:val="0"/>
              <w:keepLines w:val="0"/>
              <w:pageBreakBefore w:val="0"/>
              <w:widowControl/>
              <w:kinsoku w:val="0"/>
              <w:wordWrap/>
              <w:overflowPunct/>
              <w:topLinePunct w:val="0"/>
              <w:autoSpaceDE w:val="0"/>
              <w:autoSpaceDN w:val="0"/>
              <w:bidi w:val="0"/>
              <w:adjustRightInd w:val="0"/>
              <w:snapToGrid w:val="0"/>
              <w:spacing w:line="221" w:lineRule="auto"/>
              <w:ind w:left="0"/>
              <w:jc w:val="center"/>
              <w:textAlignment w:val="baseline"/>
            </w:pPr>
            <w:r>
              <w:rPr>
                <w:spacing w:val="-10"/>
              </w:rPr>
              <w:t>联系人</w:t>
            </w:r>
          </w:p>
        </w:tc>
        <w:tc>
          <w:tcPr>
            <w:tcW w:w="2687" w:type="dxa"/>
            <w:gridSpan w:val="2"/>
            <w:vAlign w:val="center"/>
          </w:tcPr>
          <w:p w14:paraId="1C4C046A">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ascii="Arial" w:hAnsi="Arial" w:eastAsia="Arial" w:cs="Arial"/>
                <w:snapToGrid w:val="0"/>
                <w:color w:val="000000" w:themeColor="text1"/>
                <w:kern w:val="0"/>
                <w:sz w:val="24"/>
                <w:szCs w:val="24"/>
                <w:lang w:val="en-US" w:eastAsia="en-US" w:bidi="ar-SA"/>
                <w14:textFill>
                  <w14:solidFill>
                    <w14:schemeClr w14:val="tx1"/>
                  </w14:solidFill>
                </w14:textFill>
              </w:rPr>
            </w:pPr>
            <w:r>
              <w:rPr>
                <w:color w:val="000000" w:themeColor="text1"/>
                <w:sz w:val="24"/>
                <w:szCs w:val="24"/>
                <w14:textFill>
                  <w14:solidFill>
                    <w14:schemeClr w14:val="tx1"/>
                  </w14:solidFill>
                </w14:textFill>
              </w:rPr>
              <w:t>赵静</w:t>
            </w:r>
          </w:p>
        </w:tc>
        <w:tc>
          <w:tcPr>
            <w:tcW w:w="2390" w:type="dxa"/>
            <w:gridSpan w:val="2"/>
            <w:vAlign w:val="center"/>
          </w:tcPr>
          <w:p w14:paraId="019E16D6">
            <w:pPr>
              <w:pStyle w:val="8"/>
              <w:keepNext w:val="0"/>
              <w:keepLines w:val="0"/>
              <w:pageBreakBefore w:val="0"/>
              <w:widowControl/>
              <w:kinsoku w:val="0"/>
              <w:wordWrap/>
              <w:overflowPunct/>
              <w:topLinePunct w:val="0"/>
              <w:autoSpaceDE w:val="0"/>
              <w:autoSpaceDN w:val="0"/>
              <w:bidi w:val="0"/>
              <w:adjustRightInd w:val="0"/>
              <w:snapToGrid w:val="0"/>
              <w:spacing w:line="218" w:lineRule="auto"/>
              <w:ind w:left="0" w:leftChars="0"/>
              <w:jc w:val="center"/>
              <w:textAlignment w:val="baseline"/>
              <w:rPr>
                <w:rFonts w:ascii="宋体" w:hAnsi="宋体" w:eastAsia="宋体" w:cs="宋体"/>
                <w:snapToGrid w:val="0"/>
                <w:color w:val="000000" w:themeColor="text1"/>
                <w:kern w:val="0"/>
                <w:sz w:val="24"/>
                <w:szCs w:val="24"/>
                <w:lang w:val="en-US" w:eastAsia="en-US" w:bidi="ar-SA"/>
                <w14:textFill>
                  <w14:solidFill>
                    <w14:schemeClr w14:val="tx1"/>
                  </w14:solidFill>
                </w14:textFill>
              </w:rPr>
            </w:pPr>
            <w:r>
              <w:rPr>
                <w:color w:val="000000" w:themeColor="text1"/>
                <w:spacing w:val="-5"/>
                <w:sz w:val="24"/>
                <w:szCs w:val="24"/>
                <w14:textFill>
                  <w14:solidFill>
                    <w14:schemeClr w14:val="tx1"/>
                  </w14:solidFill>
                </w14:textFill>
              </w:rPr>
              <w:t>手机</w:t>
            </w:r>
          </w:p>
        </w:tc>
        <w:tc>
          <w:tcPr>
            <w:tcW w:w="3453" w:type="dxa"/>
            <w:gridSpan w:val="2"/>
            <w:vAlign w:val="center"/>
          </w:tcPr>
          <w:p w14:paraId="11796002">
            <w:pPr>
              <w:keepNext w:val="0"/>
              <w:keepLines w:val="0"/>
              <w:pageBreakBefore w:val="0"/>
              <w:widowControl/>
              <w:kinsoku w:val="0"/>
              <w:wordWrap/>
              <w:overflowPunct/>
              <w:topLinePunct w:val="0"/>
              <w:autoSpaceDE w:val="0"/>
              <w:autoSpaceDN w:val="0"/>
              <w:bidi w:val="0"/>
              <w:adjustRightInd w:val="0"/>
              <w:snapToGrid w:val="0"/>
              <w:ind w:left="0"/>
              <w:jc w:val="center"/>
              <w:textAlignment w:val="baseline"/>
              <w:rPr>
                <w:rFonts w:ascii="Arial" w:hAnsi="Arial" w:eastAsia="Arial" w:cs="Arial"/>
                <w:snapToGrid w:val="0"/>
                <w:color w:val="000000" w:themeColor="text1"/>
                <w:kern w:val="0"/>
                <w:sz w:val="24"/>
                <w:szCs w:val="24"/>
                <w:lang w:val="en-US" w:eastAsia="en-US" w:bidi="ar-SA"/>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18209618855</w:t>
            </w:r>
          </w:p>
        </w:tc>
      </w:tr>
      <w:tr w14:paraId="104E1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1509" w:type="dxa"/>
            <w:gridSpan w:val="2"/>
            <w:vAlign w:val="top"/>
          </w:tcPr>
          <w:p w14:paraId="18DCCD0E">
            <w:pPr>
              <w:pStyle w:val="8"/>
              <w:spacing w:before="216" w:line="401" w:lineRule="exact"/>
              <w:ind w:left="203"/>
            </w:pPr>
            <w:r>
              <w:rPr>
                <w:spacing w:val="-13"/>
                <w:position w:val="12"/>
              </w:rPr>
              <w:t>通信地址及</w:t>
            </w:r>
          </w:p>
          <w:p w14:paraId="749C7B7D">
            <w:pPr>
              <w:pStyle w:val="8"/>
              <w:spacing w:line="218" w:lineRule="auto"/>
              <w:ind w:left="556"/>
            </w:pPr>
            <w:r>
              <w:rPr>
                <w:spacing w:val="-15"/>
              </w:rPr>
              <w:t>邮编</w:t>
            </w:r>
          </w:p>
        </w:tc>
        <w:tc>
          <w:tcPr>
            <w:tcW w:w="8530" w:type="dxa"/>
            <w:gridSpan w:val="6"/>
            <w:vAlign w:val="center"/>
          </w:tcPr>
          <w:p w14:paraId="77A4949A">
            <w:pPr>
              <w:jc w:val="center"/>
              <w:rPr>
                <w:rFonts w:hint="default" w:ascii="Arial" w:hAnsi="Arial" w:eastAsia="宋体" w:cs="Arial"/>
                <w:snapToGrid w:val="0"/>
                <w:color w:val="000000"/>
                <w:kern w:val="0"/>
                <w:sz w:val="24"/>
                <w:szCs w:val="24"/>
                <w:lang w:val="en-US" w:eastAsia="zh-CN" w:bidi="ar-SA"/>
              </w:rPr>
            </w:pPr>
            <w:r>
              <w:rPr>
                <w:rFonts w:hint="default" w:ascii="Times New Roman" w:hAnsi="Times New Roman" w:eastAsia="宋体" w:cs="Times New Roman"/>
                <w:sz w:val="24"/>
                <w:szCs w:val="24"/>
                <w:lang w:eastAsia="zh-CN"/>
              </w:rPr>
              <w:t>宁夏回族自治区银川市金凤区上海西路</w:t>
            </w:r>
            <w:r>
              <w:rPr>
                <w:rFonts w:hint="default" w:ascii="Times New Roman" w:hAnsi="Times New Roman" w:eastAsia="宋体" w:cs="Times New Roman"/>
                <w:sz w:val="24"/>
                <w:szCs w:val="24"/>
                <w:lang w:val="en-US" w:eastAsia="zh-CN"/>
              </w:rPr>
              <w:t>101号  宁夏粮食大厦   750004</w:t>
            </w:r>
          </w:p>
        </w:tc>
      </w:tr>
      <w:tr w14:paraId="186A3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561" w:type="dxa"/>
            <w:tcBorders>
              <w:right w:val="single" w:color="000000" w:sz="2" w:space="0"/>
            </w:tcBorders>
            <w:vAlign w:val="center"/>
          </w:tcPr>
          <w:p w14:paraId="75003785">
            <w:pPr>
              <w:bidi w:val="0"/>
              <w:jc w:val="center"/>
            </w:pPr>
            <w:r>
              <w:t>序号</w:t>
            </w:r>
          </w:p>
        </w:tc>
        <w:tc>
          <w:tcPr>
            <w:tcW w:w="1579" w:type="dxa"/>
            <w:gridSpan w:val="2"/>
            <w:tcBorders>
              <w:left w:val="single" w:color="000000" w:sz="2" w:space="0"/>
              <w:right w:val="single" w:color="000000" w:sz="2" w:space="0"/>
            </w:tcBorders>
            <w:vAlign w:val="center"/>
          </w:tcPr>
          <w:p w14:paraId="276D759B">
            <w:pPr>
              <w:bidi w:val="0"/>
              <w:jc w:val="center"/>
            </w:pPr>
            <w:r>
              <w:t>类别</w:t>
            </w:r>
          </w:p>
          <w:p w14:paraId="455922C1">
            <w:pPr>
              <w:bidi w:val="0"/>
              <w:jc w:val="center"/>
            </w:pPr>
            <w:r>
              <w:t>(产品/项目/参数)</w:t>
            </w:r>
          </w:p>
        </w:tc>
        <w:tc>
          <w:tcPr>
            <w:tcW w:w="2056" w:type="dxa"/>
            <w:tcBorders>
              <w:left w:val="single" w:color="000000" w:sz="2" w:space="0"/>
            </w:tcBorders>
            <w:vAlign w:val="center"/>
          </w:tcPr>
          <w:p w14:paraId="1879EEA0">
            <w:pPr>
              <w:bidi w:val="0"/>
              <w:jc w:val="center"/>
            </w:pPr>
            <w:r>
              <w:rPr>
                <w:rFonts w:hint="eastAsia"/>
              </w:rPr>
              <w:t>已批准的标准（方法）</w:t>
            </w:r>
            <w:r>
              <w:rPr>
                <w:rFonts w:hint="eastAsia"/>
                <w:lang w:eastAsia="zh-CN"/>
              </w:rPr>
              <w:t>名</w:t>
            </w:r>
            <w:r>
              <w:rPr>
                <w:rFonts w:hint="eastAsia"/>
              </w:rPr>
              <w:t>称、编号（含年号）</w:t>
            </w:r>
          </w:p>
        </w:tc>
        <w:tc>
          <w:tcPr>
            <w:tcW w:w="2171" w:type="dxa"/>
            <w:tcBorders>
              <w:right w:val="single" w:color="000000" w:sz="2" w:space="0"/>
            </w:tcBorders>
            <w:vAlign w:val="center"/>
          </w:tcPr>
          <w:p w14:paraId="31DCEAB7">
            <w:pPr>
              <w:bidi w:val="0"/>
              <w:jc w:val="center"/>
            </w:pPr>
            <w:r>
              <w:t>变更后的标准（方法）</w:t>
            </w:r>
          </w:p>
          <w:p w14:paraId="4077DA5F">
            <w:pPr>
              <w:bidi w:val="0"/>
              <w:jc w:val="center"/>
            </w:pPr>
            <w:r>
              <w:t>名称、编号（含年号）</w:t>
            </w:r>
          </w:p>
        </w:tc>
        <w:tc>
          <w:tcPr>
            <w:tcW w:w="618" w:type="dxa"/>
            <w:gridSpan w:val="2"/>
            <w:tcBorders>
              <w:left w:val="single" w:color="000000" w:sz="2" w:space="0"/>
            </w:tcBorders>
            <w:vAlign w:val="center"/>
          </w:tcPr>
          <w:p w14:paraId="309816B0">
            <w:pPr>
              <w:bidi w:val="0"/>
              <w:jc w:val="center"/>
            </w:pPr>
            <w:r>
              <w:t>限制</w:t>
            </w:r>
          </w:p>
          <w:p w14:paraId="21ED8C00">
            <w:pPr>
              <w:bidi w:val="0"/>
              <w:jc w:val="center"/>
            </w:pPr>
            <w:r>
              <w:t>范围</w:t>
            </w:r>
          </w:p>
        </w:tc>
        <w:tc>
          <w:tcPr>
            <w:tcW w:w="3054" w:type="dxa"/>
            <w:vAlign w:val="center"/>
          </w:tcPr>
          <w:p w14:paraId="0250327E">
            <w:pPr>
              <w:bidi w:val="0"/>
              <w:jc w:val="center"/>
            </w:pPr>
            <w:r>
              <w:t>变更内容</w:t>
            </w:r>
          </w:p>
        </w:tc>
      </w:tr>
      <w:tr w14:paraId="7C770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1" w:hRule="atLeast"/>
        </w:trPr>
        <w:tc>
          <w:tcPr>
            <w:tcW w:w="561" w:type="dxa"/>
            <w:tcBorders>
              <w:right w:val="single" w:color="000000" w:sz="2" w:space="0"/>
            </w:tcBorders>
            <w:vAlign w:val="center"/>
          </w:tcPr>
          <w:p w14:paraId="3ECF8B24">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snapToGrid w:val="0"/>
                <w:color w:val="auto"/>
                <w:kern w:val="0"/>
                <w:sz w:val="22"/>
                <w:szCs w:val="22"/>
                <w:lang w:val="en-US" w:eastAsia="zh-CN" w:bidi="ar-SA"/>
              </w:rPr>
            </w:pPr>
            <w:r>
              <w:rPr>
                <w:rFonts w:hint="eastAsia" w:ascii="Times New Roman" w:hAnsi="Times New Roman" w:eastAsia="仿宋_GB2312" w:cs="Times New Roman"/>
                <w:snapToGrid w:val="0"/>
                <w:color w:val="auto"/>
                <w:kern w:val="0"/>
                <w:sz w:val="22"/>
                <w:szCs w:val="22"/>
                <w:lang w:val="en-US" w:eastAsia="zh-CN" w:bidi="ar-SA"/>
              </w:rPr>
              <w:t>1.163</w:t>
            </w:r>
          </w:p>
        </w:tc>
        <w:tc>
          <w:tcPr>
            <w:tcW w:w="1579" w:type="dxa"/>
            <w:gridSpan w:val="2"/>
            <w:tcBorders>
              <w:left w:val="single" w:color="000000" w:sz="2" w:space="0"/>
              <w:right w:val="single" w:color="000000" w:sz="2" w:space="0"/>
            </w:tcBorders>
            <w:vAlign w:val="center"/>
          </w:tcPr>
          <w:p w14:paraId="112C49E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F5FF10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21"/>
                <w:szCs w:val="21"/>
                <w:lang w:eastAsia="zh-CN"/>
              </w:rPr>
              <w:t>α-666</w:t>
            </w:r>
            <w:r>
              <w:rPr>
                <w:rFonts w:hint="default" w:ascii="Times New Roman" w:hAnsi="Times New Roman" w:eastAsia="仿宋_GB2312" w:cs="Times New Roman"/>
                <w:snapToGrid w:val="0"/>
                <w:color w:val="auto"/>
                <w:kern w:val="0"/>
                <w:sz w:val="21"/>
                <w:szCs w:val="21"/>
                <w:lang w:val="en-US" w:eastAsia="zh-CN" w:bidi="ar-SA"/>
              </w:rPr>
              <w:t>、</w:t>
            </w:r>
          </w:p>
          <w:p w14:paraId="6A4F6C1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2"/>
                <w:szCs w:val="22"/>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94B609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auto"/>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42E3D8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auto"/>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18" w:type="dxa"/>
            <w:gridSpan w:val="2"/>
            <w:tcBorders>
              <w:left w:val="single" w:color="000000" w:sz="2" w:space="0"/>
            </w:tcBorders>
            <w:vAlign w:val="center"/>
          </w:tcPr>
          <w:p w14:paraId="7E207D52">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p>
        </w:tc>
        <w:tc>
          <w:tcPr>
            <w:tcW w:w="3054" w:type="dxa"/>
            <w:vAlign w:val="center"/>
          </w:tcPr>
          <w:p w14:paraId="7F2D88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F7C07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FA3DA8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8CB1B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2E90B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4E788A7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更改了克百威等８种农药的方法定量限。</w:t>
            </w:r>
          </w:p>
        </w:tc>
      </w:tr>
      <w:tr w14:paraId="4EEA2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3" w:hRule="atLeast"/>
        </w:trPr>
        <w:tc>
          <w:tcPr>
            <w:tcW w:w="561" w:type="dxa"/>
            <w:tcBorders>
              <w:right w:val="single" w:color="000000" w:sz="2" w:space="0"/>
            </w:tcBorders>
            <w:vAlign w:val="center"/>
          </w:tcPr>
          <w:p w14:paraId="130D792D">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snapToGrid w:val="0"/>
                <w:color w:val="000000"/>
                <w:kern w:val="0"/>
                <w:sz w:val="22"/>
                <w:szCs w:val="22"/>
                <w:lang w:val="en-US" w:eastAsia="zh-CN" w:bidi="ar-SA"/>
              </w:rPr>
            </w:pPr>
            <w:r>
              <w:rPr>
                <w:rFonts w:hint="eastAsia" w:ascii="Times New Roman" w:hAnsi="Times New Roman" w:eastAsia="仿宋_GB2312" w:cs="Times New Roman"/>
                <w:snapToGrid w:val="0"/>
                <w:color w:val="000000"/>
                <w:kern w:val="0"/>
                <w:sz w:val="22"/>
                <w:szCs w:val="22"/>
                <w:lang w:val="en-US" w:eastAsia="zh-CN" w:bidi="ar-SA"/>
              </w:rPr>
              <w:t>1.164</w:t>
            </w:r>
          </w:p>
        </w:tc>
        <w:tc>
          <w:tcPr>
            <w:tcW w:w="1579" w:type="dxa"/>
            <w:gridSpan w:val="2"/>
            <w:tcBorders>
              <w:left w:val="single" w:color="000000" w:sz="2" w:space="0"/>
              <w:right w:val="single" w:color="000000" w:sz="2" w:space="0"/>
            </w:tcBorders>
            <w:vAlign w:val="center"/>
          </w:tcPr>
          <w:p w14:paraId="5188376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263B971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21"/>
                <w:szCs w:val="21"/>
                <w:lang w:eastAsia="zh-CN"/>
              </w:rPr>
              <w:t>β-666</w:t>
            </w:r>
            <w:r>
              <w:rPr>
                <w:rFonts w:hint="default" w:ascii="Times New Roman" w:hAnsi="Times New Roman" w:eastAsia="仿宋_GB2312" w:cs="Times New Roman"/>
                <w:snapToGrid w:val="0"/>
                <w:color w:val="auto"/>
                <w:kern w:val="0"/>
                <w:sz w:val="21"/>
                <w:szCs w:val="21"/>
                <w:lang w:val="en-US" w:eastAsia="zh-CN" w:bidi="ar-SA"/>
              </w:rPr>
              <w:t>、</w:t>
            </w:r>
          </w:p>
          <w:p w14:paraId="23C5005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000000"/>
                <w:kern w:val="0"/>
                <w:sz w:val="22"/>
                <w:szCs w:val="22"/>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5A10E82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5D4472D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18" w:type="dxa"/>
            <w:gridSpan w:val="2"/>
            <w:tcBorders>
              <w:left w:val="single" w:color="000000" w:sz="2" w:space="0"/>
            </w:tcBorders>
            <w:vAlign w:val="center"/>
          </w:tcPr>
          <w:p w14:paraId="0C20B2B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snapToGrid w:val="0"/>
                <w:color w:val="000000"/>
                <w:kern w:val="0"/>
                <w:sz w:val="22"/>
                <w:szCs w:val="22"/>
                <w:lang w:val="en-US" w:eastAsia="zh-CN" w:bidi="ar-SA"/>
              </w:rPr>
            </w:pPr>
          </w:p>
        </w:tc>
        <w:tc>
          <w:tcPr>
            <w:tcW w:w="3054" w:type="dxa"/>
            <w:vAlign w:val="center"/>
          </w:tcPr>
          <w:p w14:paraId="58C9A2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C9546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B999F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3E94595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EF42C8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D0659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000000"/>
                <w:kern w:val="0"/>
                <w:sz w:val="22"/>
                <w:szCs w:val="22"/>
                <w:lang w:val="en-US" w:eastAsia="zh-CN" w:bidi="ar-SA"/>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更改了克百威等８种农药的方法定量限。</w:t>
            </w:r>
          </w:p>
        </w:tc>
      </w:tr>
    </w:tbl>
    <w:p w14:paraId="3D6DAFB2">
      <w:pPr>
        <w:pStyle w:val="2"/>
        <w:spacing w:before="65" w:line="227" w:lineRule="auto"/>
        <w:rPr>
          <w:rFonts w:hint="default" w:ascii="Times New Roman" w:hAnsi="Times New Roman" w:eastAsia="仿宋_GB2312" w:cs="Times New Roman"/>
          <w:spacing w:val="-4"/>
          <w:sz w:val="22"/>
          <w:szCs w:val="22"/>
        </w:rPr>
      </w:pPr>
    </w:p>
    <w:p w14:paraId="72DDE960">
      <w:pPr>
        <w:pStyle w:val="2"/>
        <w:spacing w:before="65" w:line="227" w:lineRule="auto"/>
        <w:rPr>
          <w:rFonts w:hint="default" w:ascii="Times New Roman" w:hAnsi="Times New Roman" w:eastAsia="仿宋_GB2312" w:cs="Times New Roman"/>
          <w:spacing w:val="-4"/>
          <w:sz w:val="22"/>
          <w:szCs w:val="22"/>
        </w:rPr>
      </w:pPr>
    </w:p>
    <w:p w14:paraId="1F9CF855">
      <w:pPr>
        <w:spacing w:line="33" w:lineRule="exact"/>
        <w:rPr>
          <w:rFonts w:hint="default" w:ascii="Times New Roman" w:hAnsi="Times New Roman" w:eastAsia="仿宋_GB2312" w:cs="Times New Roman"/>
          <w:sz w:val="22"/>
          <w:szCs w:val="22"/>
        </w:rPr>
      </w:pPr>
    </w:p>
    <w:p w14:paraId="14FC1776">
      <w:pPr>
        <w:spacing w:line="33" w:lineRule="exact"/>
        <w:rPr>
          <w:rFonts w:hint="default" w:ascii="Times New Roman" w:hAnsi="Times New Roman" w:eastAsia="仿宋_GB2312" w:cs="Times New Roman"/>
          <w:sz w:val="22"/>
          <w:szCs w:val="22"/>
        </w:rPr>
      </w:pPr>
    </w:p>
    <w:tbl>
      <w:tblPr>
        <w:tblStyle w:val="7"/>
        <w:tblW w:w="10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1"/>
        <w:gridCol w:w="1579"/>
        <w:gridCol w:w="2056"/>
        <w:gridCol w:w="2171"/>
        <w:gridCol w:w="618"/>
        <w:gridCol w:w="3054"/>
      </w:tblGrid>
      <w:tr w14:paraId="0ACDF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561" w:type="dxa"/>
            <w:tcBorders>
              <w:right w:val="single" w:color="000000" w:sz="2" w:space="0"/>
            </w:tcBorders>
            <w:vAlign w:val="center"/>
          </w:tcPr>
          <w:p w14:paraId="01DC3307">
            <w:pPr>
              <w:bidi w:val="0"/>
              <w:jc w:val="center"/>
              <w:rPr>
                <w:rFonts w:hint="default" w:ascii="Times New Roman" w:hAnsi="Times New Roman" w:eastAsia="仿宋_GB2312" w:cs="Times New Roman"/>
                <w:sz w:val="22"/>
                <w:szCs w:val="22"/>
              </w:rPr>
            </w:pPr>
            <w:r>
              <w:t>序号</w:t>
            </w:r>
          </w:p>
        </w:tc>
        <w:tc>
          <w:tcPr>
            <w:tcW w:w="1579" w:type="dxa"/>
            <w:tcBorders>
              <w:left w:val="single" w:color="000000" w:sz="2" w:space="0"/>
              <w:right w:val="single" w:color="000000" w:sz="2" w:space="0"/>
            </w:tcBorders>
            <w:vAlign w:val="center"/>
          </w:tcPr>
          <w:p w14:paraId="12DE9579">
            <w:pPr>
              <w:bidi w:val="0"/>
              <w:jc w:val="center"/>
            </w:pPr>
            <w:r>
              <w:t>类别</w:t>
            </w:r>
          </w:p>
          <w:p w14:paraId="1BEF03F8">
            <w:pPr>
              <w:bidi w:val="0"/>
              <w:jc w:val="center"/>
              <w:rPr>
                <w:rFonts w:hint="default" w:ascii="Times New Roman" w:hAnsi="Times New Roman" w:eastAsia="仿宋_GB2312" w:cs="Times New Roman"/>
                <w:sz w:val="22"/>
                <w:szCs w:val="22"/>
              </w:rPr>
            </w:pPr>
            <w:r>
              <w:t>(产品/项目/参数)</w:t>
            </w:r>
          </w:p>
        </w:tc>
        <w:tc>
          <w:tcPr>
            <w:tcW w:w="2056" w:type="dxa"/>
            <w:tcBorders>
              <w:left w:val="single" w:color="000000" w:sz="2" w:space="0"/>
            </w:tcBorders>
            <w:vAlign w:val="center"/>
          </w:tcPr>
          <w:p w14:paraId="4BDE552A">
            <w:pPr>
              <w:bidi w:val="0"/>
              <w:jc w:val="center"/>
              <w:rPr>
                <w:rFonts w:hint="default" w:ascii="Times New Roman" w:hAnsi="Times New Roman" w:eastAsia="仿宋_GB2312" w:cs="Times New Roman"/>
                <w:sz w:val="22"/>
                <w:szCs w:val="22"/>
              </w:rPr>
            </w:pPr>
            <w:r>
              <w:rPr>
                <w:rFonts w:hint="eastAsia"/>
              </w:rPr>
              <w:t>已批准的标准（方法）</w:t>
            </w:r>
            <w:r>
              <w:rPr>
                <w:rFonts w:hint="eastAsia"/>
                <w:lang w:eastAsia="zh-CN"/>
              </w:rPr>
              <w:t>名</w:t>
            </w:r>
            <w:r>
              <w:rPr>
                <w:rFonts w:hint="eastAsia"/>
              </w:rPr>
              <w:t>称、编号（含年号）</w:t>
            </w:r>
          </w:p>
        </w:tc>
        <w:tc>
          <w:tcPr>
            <w:tcW w:w="2171" w:type="dxa"/>
            <w:tcBorders>
              <w:right w:val="single" w:color="000000" w:sz="2" w:space="0"/>
            </w:tcBorders>
            <w:vAlign w:val="center"/>
          </w:tcPr>
          <w:p w14:paraId="01670B3E">
            <w:pPr>
              <w:bidi w:val="0"/>
              <w:jc w:val="center"/>
            </w:pPr>
            <w:r>
              <w:t>变更后的标准（方法）</w:t>
            </w:r>
          </w:p>
          <w:p w14:paraId="433B33E2">
            <w:pPr>
              <w:bidi w:val="0"/>
              <w:jc w:val="center"/>
              <w:rPr>
                <w:rFonts w:hint="default" w:ascii="Times New Roman" w:hAnsi="Times New Roman" w:eastAsia="仿宋_GB2312" w:cs="Times New Roman"/>
                <w:sz w:val="22"/>
                <w:szCs w:val="22"/>
              </w:rPr>
            </w:pPr>
            <w:r>
              <w:t>名称、编号（含年号）</w:t>
            </w:r>
          </w:p>
        </w:tc>
        <w:tc>
          <w:tcPr>
            <w:tcW w:w="618" w:type="dxa"/>
            <w:tcBorders>
              <w:left w:val="single" w:color="000000" w:sz="2" w:space="0"/>
            </w:tcBorders>
            <w:vAlign w:val="center"/>
          </w:tcPr>
          <w:p w14:paraId="76BD1D8B">
            <w:pPr>
              <w:bidi w:val="0"/>
              <w:jc w:val="center"/>
            </w:pPr>
            <w:r>
              <w:t>限制</w:t>
            </w:r>
          </w:p>
          <w:p w14:paraId="51EED10E">
            <w:pPr>
              <w:bidi w:val="0"/>
              <w:jc w:val="center"/>
              <w:rPr>
                <w:rFonts w:hint="default" w:ascii="Times New Roman" w:hAnsi="Times New Roman" w:eastAsia="仿宋_GB2312" w:cs="Times New Roman"/>
                <w:sz w:val="22"/>
                <w:szCs w:val="22"/>
              </w:rPr>
            </w:pPr>
            <w:r>
              <w:t>范围</w:t>
            </w:r>
          </w:p>
        </w:tc>
        <w:tc>
          <w:tcPr>
            <w:tcW w:w="3054" w:type="dxa"/>
            <w:vAlign w:val="center"/>
          </w:tcPr>
          <w:p w14:paraId="388EE3E4">
            <w:pPr>
              <w:bidi w:val="0"/>
              <w:jc w:val="center"/>
              <w:rPr>
                <w:rFonts w:hint="default" w:ascii="Times New Roman" w:hAnsi="Times New Roman" w:eastAsia="仿宋_GB2312" w:cs="Times New Roman"/>
                <w:sz w:val="22"/>
                <w:szCs w:val="22"/>
              </w:rPr>
            </w:pPr>
            <w:r>
              <w:t>变更内容</w:t>
            </w:r>
          </w:p>
        </w:tc>
      </w:tr>
      <w:tr w14:paraId="148E0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242AED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2"/>
                <w:sz w:val="21"/>
                <w:szCs w:val="21"/>
                <w:lang w:val="en-US" w:eastAsia="zh-CN" w:bidi="ar-SA"/>
              </w:rPr>
            </w:pPr>
            <w:r>
              <w:rPr>
                <w:rFonts w:hint="eastAsia" w:ascii="Times New Roman" w:hAnsi="Times New Roman" w:eastAsia="宋体" w:cs="Times New Roman"/>
                <w:i w:val="0"/>
                <w:iCs w:val="0"/>
                <w:snapToGrid w:val="0"/>
                <w:color w:val="000000"/>
                <w:kern w:val="0"/>
                <w:sz w:val="20"/>
                <w:szCs w:val="20"/>
                <w:u w:val="none"/>
                <w:lang w:val="en-US" w:eastAsia="zh-CN" w:bidi="ar"/>
              </w:rPr>
              <w:t>1.165</w:t>
            </w:r>
          </w:p>
        </w:tc>
        <w:tc>
          <w:tcPr>
            <w:tcW w:w="1579" w:type="dxa"/>
            <w:tcBorders>
              <w:left w:val="single" w:color="000000" w:sz="2" w:space="0"/>
              <w:right w:val="single" w:color="000000" w:sz="2" w:space="0"/>
            </w:tcBorders>
            <w:vAlign w:val="center"/>
          </w:tcPr>
          <w:p w14:paraId="1653635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2F9CB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21"/>
                <w:szCs w:val="21"/>
                <w:lang w:eastAsia="zh-CN"/>
              </w:rPr>
              <w:t>γ-666</w:t>
            </w:r>
            <w:r>
              <w:rPr>
                <w:rFonts w:hint="default" w:ascii="Times New Roman" w:hAnsi="Times New Roman" w:eastAsia="仿宋_GB2312" w:cs="Times New Roman"/>
                <w:snapToGrid w:val="0"/>
                <w:color w:val="auto"/>
                <w:kern w:val="0"/>
                <w:sz w:val="21"/>
                <w:szCs w:val="21"/>
                <w:lang w:val="en-US" w:eastAsia="zh-CN" w:bidi="ar-SA"/>
              </w:rPr>
              <w:t>、</w:t>
            </w:r>
          </w:p>
          <w:p w14:paraId="59C10D2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25D73AA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1"/>
                <w:szCs w:val="21"/>
                <w:lang w:val="en-US" w:eastAsia="zh-CN"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20478C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1"/>
                <w:szCs w:val="21"/>
                <w:lang w:val="en-US" w:eastAsia="zh-CN"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18" w:type="dxa"/>
            <w:tcBorders>
              <w:left w:val="single" w:color="000000" w:sz="2" w:space="0"/>
            </w:tcBorders>
            <w:vAlign w:val="center"/>
          </w:tcPr>
          <w:p w14:paraId="070E9A7E">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000000"/>
                <w:kern w:val="0"/>
                <w:sz w:val="21"/>
                <w:szCs w:val="21"/>
                <w:lang w:val="en-US" w:eastAsia="zh-CN" w:bidi="ar-SA"/>
              </w:rPr>
            </w:pPr>
          </w:p>
        </w:tc>
        <w:tc>
          <w:tcPr>
            <w:tcW w:w="3054" w:type="dxa"/>
            <w:vAlign w:val="center"/>
          </w:tcPr>
          <w:p w14:paraId="23C0CE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6A00B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D05143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096C5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32872F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DDDDA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000000"/>
                <w:kern w:val="0"/>
                <w:sz w:val="21"/>
                <w:szCs w:val="21"/>
                <w:lang w:val="en-US" w:eastAsia="zh-CN" w:bidi="ar-SA"/>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A955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12CF8E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2"/>
                <w:sz w:val="21"/>
                <w:szCs w:val="21"/>
                <w:lang w:val="en-US" w:eastAsia="zh-CN" w:bidi="ar-SA"/>
              </w:rPr>
            </w:pPr>
            <w:r>
              <w:rPr>
                <w:rFonts w:hint="eastAsia" w:ascii="Times New Roman" w:hAnsi="Times New Roman" w:eastAsia="宋体" w:cs="Times New Roman"/>
                <w:i w:val="0"/>
                <w:iCs w:val="0"/>
                <w:snapToGrid w:val="0"/>
                <w:color w:val="000000"/>
                <w:kern w:val="0"/>
                <w:sz w:val="20"/>
                <w:szCs w:val="20"/>
                <w:u w:val="none"/>
                <w:lang w:val="en-US" w:eastAsia="zh-CN" w:bidi="ar"/>
              </w:rPr>
              <w:t>1.166</w:t>
            </w:r>
          </w:p>
        </w:tc>
        <w:tc>
          <w:tcPr>
            <w:tcW w:w="1579" w:type="dxa"/>
            <w:tcBorders>
              <w:left w:val="single" w:color="000000" w:sz="2" w:space="0"/>
              <w:right w:val="single" w:color="000000" w:sz="2" w:space="0"/>
            </w:tcBorders>
            <w:vAlign w:val="center"/>
          </w:tcPr>
          <w:p w14:paraId="56E4913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75DCA1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21"/>
                <w:szCs w:val="21"/>
                <w:lang w:eastAsia="zh-CN"/>
              </w:rPr>
              <w:t>δ-666</w:t>
            </w:r>
            <w:r>
              <w:rPr>
                <w:rFonts w:hint="default" w:ascii="Times New Roman" w:hAnsi="Times New Roman" w:eastAsia="仿宋_GB2312" w:cs="Times New Roman"/>
                <w:snapToGrid w:val="0"/>
                <w:color w:val="auto"/>
                <w:kern w:val="0"/>
                <w:sz w:val="21"/>
                <w:szCs w:val="21"/>
                <w:lang w:val="en-US" w:eastAsia="zh-CN" w:bidi="ar-SA"/>
              </w:rPr>
              <w:t>、</w:t>
            </w:r>
          </w:p>
          <w:p w14:paraId="65884D9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FC0894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5B616C8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18" w:type="dxa"/>
            <w:tcBorders>
              <w:left w:val="single" w:color="000000" w:sz="2" w:space="0"/>
            </w:tcBorders>
            <w:vAlign w:val="center"/>
          </w:tcPr>
          <w:p w14:paraId="0E01E920">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54" w:type="dxa"/>
            <w:vAlign w:val="center"/>
          </w:tcPr>
          <w:p w14:paraId="058C35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04412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DD62FF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A360F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3122CF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187E2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33BFD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6B26AD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1.171</w:t>
            </w:r>
          </w:p>
        </w:tc>
        <w:tc>
          <w:tcPr>
            <w:tcW w:w="1579" w:type="dxa"/>
            <w:tcBorders>
              <w:left w:val="single" w:color="000000" w:sz="2" w:space="0"/>
              <w:right w:val="single" w:color="000000" w:sz="2" w:space="0"/>
            </w:tcBorders>
            <w:vAlign w:val="center"/>
          </w:tcPr>
          <w:p w14:paraId="0A94026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4AF022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18"/>
                <w:szCs w:val="18"/>
                <w:lang w:eastAsia="zh-CN"/>
              </w:rPr>
              <w:t>4，4´-滴滴涕、</w:t>
            </w:r>
          </w:p>
          <w:p w14:paraId="7591C86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62A0C0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DC2D89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18" w:type="dxa"/>
            <w:tcBorders>
              <w:left w:val="single" w:color="000000" w:sz="2" w:space="0"/>
            </w:tcBorders>
            <w:vAlign w:val="center"/>
          </w:tcPr>
          <w:p w14:paraId="7152A6D6">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54" w:type="dxa"/>
            <w:vAlign w:val="center"/>
          </w:tcPr>
          <w:p w14:paraId="38ED2B6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12B5F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28B41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70C513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12F5B0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0D1B87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bl>
    <w:p w14:paraId="74AB443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left"/>
        <w:textAlignment w:val="center"/>
        <w:rPr>
          <w:rFonts w:hint="eastAsia" w:ascii="Times New Roman" w:hAnsi="Times New Roman" w:eastAsia="宋体" w:cs="Times New Roman"/>
          <w:i w:val="0"/>
          <w:iCs w:val="0"/>
          <w:snapToGrid w:val="0"/>
          <w:color w:val="000000"/>
          <w:kern w:val="0"/>
          <w:sz w:val="20"/>
          <w:szCs w:val="20"/>
          <w:u w:val="none"/>
          <w:lang w:val="en-US" w:eastAsia="zh-CN" w:bidi="ar"/>
        </w:rPr>
        <w:sectPr>
          <w:pgSz w:w="11906" w:h="16839"/>
          <w:pgMar w:top="1431" w:right="928" w:bottom="0" w:left="927" w:header="0" w:footer="0" w:gutter="0"/>
          <w:cols w:space="720" w:num="1"/>
        </w:sectPr>
      </w:pPr>
    </w:p>
    <w:tbl>
      <w:tblPr>
        <w:tblStyle w:val="7"/>
        <w:tblW w:w="10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1"/>
        <w:gridCol w:w="1158"/>
        <w:gridCol w:w="421"/>
        <w:gridCol w:w="2056"/>
        <w:gridCol w:w="2171"/>
        <w:gridCol w:w="626"/>
        <w:gridCol w:w="3046"/>
      </w:tblGrid>
      <w:tr w14:paraId="6FC50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4" w:hRule="atLeast"/>
          <w:tblHeader/>
        </w:trPr>
        <w:tc>
          <w:tcPr>
            <w:tcW w:w="561" w:type="dxa"/>
            <w:tcBorders>
              <w:right w:val="single" w:color="000000" w:sz="2" w:space="0"/>
            </w:tcBorders>
            <w:shd w:val="clear" w:color="auto" w:fill="auto"/>
            <w:vAlign w:val="center"/>
          </w:tcPr>
          <w:p w14:paraId="76A6A3A6">
            <w:pPr>
              <w:bidi w:val="0"/>
              <w:jc w:val="center"/>
              <w:rPr>
                <w:rFonts w:hint="eastAsia" w:ascii="Arial" w:hAnsi="Arial" w:eastAsia="Arial" w:cs="Arial"/>
                <w:snapToGrid w:val="0"/>
                <w:color w:val="000000"/>
                <w:kern w:val="0"/>
                <w:sz w:val="21"/>
                <w:szCs w:val="21"/>
                <w:lang w:val="en-US" w:eastAsia="zh-CN" w:bidi="ar-SA"/>
              </w:rPr>
            </w:pPr>
            <w:r>
              <w:t>序号</w:t>
            </w:r>
          </w:p>
        </w:tc>
        <w:tc>
          <w:tcPr>
            <w:tcW w:w="1579" w:type="dxa"/>
            <w:gridSpan w:val="2"/>
            <w:tcBorders>
              <w:left w:val="single" w:color="000000" w:sz="2" w:space="0"/>
              <w:right w:val="single" w:color="000000" w:sz="2" w:space="0"/>
            </w:tcBorders>
            <w:shd w:val="clear" w:color="auto" w:fill="auto"/>
            <w:vAlign w:val="center"/>
          </w:tcPr>
          <w:p w14:paraId="63B447D7">
            <w:pPr>
              <w:bidi w:val="0"/>
              <w:jc w:val="center"/>
            </w:pPr>
            <w:r>
              <w:t>类别</w:t>
            </w:r>
          </w:p>
          <w:p w14:paraId="4B87D782">
            <w:pPr>
              <w:bidi w:val="0"/>
              <w:jc w:val="center"/>
              <w:rPr>
                <w:rFonts w:hint="default" w:ascii="Arial" w:hAnsi="Arial" w:eastAsia="Arial" w:cs="Arial"/>
                <w:snapToGrid w:val="0"/>
                <w:color w:val="000000"/>
                <w:kern w:val="0"/>
                <w:sz w:val="21"/>
                <w:szCs w:val="21"/>
                <w:lang w:val="en-US" w:eastAsia="zh-CN" w:bidi="ar-SA"/>
              </w:rPr>
            </w:pPr>
            <w:r>
              <w:t>(产品/项目/参数)</w:t>
            </w:r>
          </w:p>
        </w:tc>
        <w:tc>
          <w:tcPr>
            <w:tcW w:w="2056" w:type="dxa"/>
            <w:tcBorders>
              <w:left w:val="single" w:color="000000" w:sz="2" w:space="0"/>
            </w:tcBorders>
            <w:shd w:val="clear" w:color="auto" w:fill="auto"/>
            <w:vAlign w:val="center"/>
          </w:tcPr>
          <w:p w14:paraId="7FB59FF7">
            <w:pPr>
              <w:bidi w:val="0"/>
              <w:jc w:val="center"/>
              <w:rPr>
                <w:rFonts w:hint="default" w:ascii="Arial" w:hAnsi="Arial" w:eastAsia="Arial" w:cs="Arial"/>
                <w:snapToGrid w:val="0"/>
                <w:color w:val="000000"/>
                <w:kern w:val="0"/>
                <w:sz w:val="21"/>
                <w:szCs w:val="21"/>
                <w:lang w:val="en-US" w:eastAsia="en-US" w:bidi="ar-SA"/>
              </w:rPr>
            </w:pPr>
            <w:r>
              <w:rPr>
                <w:rFonts w:hint="eastAsia"/>
              </w:rPr>
              <w:t>已批准的标准（方法）</w:t>
            </w:r>
            <w:r>
              <w:rPr>
                <w:rFonts w:hint="eastAsia"/>
                <w:lang w:eastAsia="zh-CN"/>
              </w:rPr>
              <w:t>名</w:t>
            </w:r>
            <w:r>
              <w:rPr>
                <w:rFonts w:hint="eastAsia"/>
              </w:rPr>
              <w:t>称、编号（含年号）</w:t>
            </w:r>
          </w:p>
        </w:tc>
        <w:tc>
          <w:tcPr>
            <w:tcW w:w="2171" w:type="dxa"/>
            <w:tcBorders>
              <w:right w:val="single" w:color="000000" w:sz="2" w:space="0"/>
            </w:tcBorders>
            <w:shd w:val="clear" w:color="auto" w:fill="auto"/>
            <w:vAlign w:val="center"/>
          </w:tcPr>
          <w:p w14:paraId="420A43C9">
            <w:pPr>
              <w:bidi w:val="0"/>
              <w:jc w:val="center"/>
            </w:pPr>
            <w:r>
              <w:t>变更后的标准（方法）</w:t>
            </w:r>
          </w:p>
          <w:p w14:paraId="75C7BF87">
            <w:pPr>
              <w:bidi w:val="0"/>
              <w:jc w:val="center"/>
              <w:rPr>
                <w:rFonts w:hint="default" w:ascii="Arial" w:hAnsi="Arial" w:eastAsia="Arial" w:cs="Arial"/>
                <w:snapToGrid w:val="0"/>
                <w:color w:val="000000"/>
                <w:kern w:val="0"/>
                <w:sz w:val="21"/>
                <w:szCs w:val="21"/>
                <w:lang w:val="en-US" w:eastAsia="en-US" w:bidi="ar-SA"/>
              </w:rPr>
            </w:pPr>
            <w:r>
              <w:t>名称、编号（含年号）</w:t>
            </w:r>
          </w:p>
        </w:tc>
        <w:tc>
          <w:tcPr>
            <w:tcW w:w="626" w:type="dxa"/>
            <w:tcBorders>
              <w:left w:val="single" w:color="000000" w:sz="2" w:space="0"/>
            </w:tcBorders>
            <w:shd w:val="clear" w:color="auto" w:fill="auto"/>
            <w:vAlign w:val="center"/>
          </w:tcPr>
          <w:p w14:paraId="0E7C70E2">
            <w:pPr>
              <w:bidi w:val="0"/>
              <w:jc w:val="center"/>
            </w:pPr>
            <w:r>
              <w:t>限制</w:t>
            </w:r>
          </w:p>
          <w:p w14:paraId="1534D9C1">
            <w:pPr>
              <w:bidi w:val="0"/>
              <w:jc w:val="center"/>
              <w:rPr>
                <w:rFonts w:hint="eastAsia" w:ascii="Arial" w:hAnsi="Arial" w:eastAsia="Arial" w:cs="Arial"/>
                <w:snapToGrid w:val="0"/>
                <w:color w:val="000000"/>
                <w:kern w:val="0"/>
                <w:sz w:val="21"/>
                <w:szCs w:val="21"/>
                <w:lang w:val="en-US" w:eastAsia="zh-CN" w:bidi="ar-SA"/>
              </w:rPr>
            </w:pPr>
            <w:r>
              <w:t>范围</w:t>
            </w:r>
          </w:p>
        </w:tc>
        <w:tc>
          <w:tcPr>
            <w:tcW w:w="3046" w:type="dxa"/>
            <w:shd w:val="clear" w:color="auto" w:fill="auto"/>
            <w:vAlign w:val="center"/>
          </w:tcPr>
          <w:p w14:paraId="24A65E7C">
            <w:pPr>
              <w:bidi w:val="0"/>
              <w:jc w:val="center"/>
              <w:rPr>
                <w:rFonts w:hint="eastAsia" w:ascii="Arial" w:hAnsi="Arial" w:eastAsia="Arial" w:cs="Arial"/>
                <w:snapToGrid w:val="0"/>
                <w:color w:val="000000"/>
                <w:kern w:val="0"/>
                <w:sz w:val="21"/>
                <w:szCs w:val="21"/>
                <w:lang w:val="en-US" w:eastAsia="zh-CN" w:bidi="ar-SA"/>
              </w:rPr>
            </w:pPr>
            <w:r>
              <w:t>变更内容</w:t>
            </w:r>
          </w:p>
        </w:tc>
      </w:tr>
      <w:tr w14:paraId="00E34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A4B550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1.172</w:t>
            </w:r>
          </w:p>
        </w:tc>
        <w:tc>
          <w:tcPr>
            <w:tcW w:w="1579" w:type="dxa"/>
            <w:gridSpan w:val="2"/>
            <w:tcBorders>
              <w:left w:val="single" w:color="000000" w:sz="2" w:space="0"/>
              <w:right w:val="single" w:color="000000" w:sz="2" w:space="0"/>
            </w:tcBorders>
            <w:vAlign w:val="center"/>
          </w:tcPr>
          <w:p w14:paraId="09C0661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4AD14FE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18"/>
                <w:szCs w:val="18"/>
                <w:lang w:eastAsia="zh-CN"/>
              </w:rPr>
              <w:t>4，4´-滴滴滴、</w:t>
            </w:r>
          </w:p>
          <w:p w14:paraId="7BD0C6E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7032E7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051179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3054361">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3E25EA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29BBF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3C2EA1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67A97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F79D1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A47295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29D0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F3CC15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1.173</w:t>
            </w:r>
          </w:p>
        </w:tc>
        <w:tc>
          <w:tcPr>
            <w:tcW w:w="1579" w:type="dxa"/>
            <w:gridSpan w:val="2"/>
            <w:tcBorders>
              <w:left w:val="single" w:color="000000" w:sz="2" w:space="0"/>
              <w:right w:val="single" w:color="000000" w:sz="2" w:space="0"/>
            </w:tcBorders>
            <w:vAlign w:val="center"/>
          </w:tcPr>
          <w:p w14:paraId="2BA2D44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22E3162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18"/>
                <w:szCs w:val="18"/>
                <w:lang w:eastAsia="zh-CN"/>
              </w:rPr>
              <w:t>4，4´-滴滴伊、</w:t>
            </w:r>
          </w:p>
          <w:p w14:paraId="5AA5472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2EBB76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10C2301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25CB829">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386DF5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8F332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1C949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75EDC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A08466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0DBA1C6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04402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1C6420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1.174</w:t>
            </w:r>
          </w:p>
        </w:tc>
        <w:tc>
          <w:tcPr>
            <w:tcW w:w="1579" w:type="dxa"/>
            <w:gridSpan w:val="2"/>
            <w:tcBorders>
              <w:left w:val="single" w:color="000000" w:sz="2" w:space="0"/>
              <w:right w:val="single" w:color="000000" w:sz="2" w:space="0"/>
            </w:tcBorders>
            <w:vAlign w:val="center"/>
          </w:tcPr>
          <w:p w14:paraId="2AECA6E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23836C7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color w:val="auto"/>
                <w:sz w:val="18"/>
                <w:szCs w:val="18"/>
                <w:lang w:eastAsia="zh-CN"/>
              </w:rPr>
              <w:t>2，4´-滴滴涕、</w:t>
            </w:r>
          </w:p>
          <w:p w14:paraId="1B3356F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BAE7F7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5FDBAF4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B03B30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5E9D0E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96079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F384E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B58DF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115EC0F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70A0D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3E832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891FD1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1.175</w:t>
            </w:r>
          </w:p>
        </w:tc>
        <w:tc>
          <w:tcPr>
            <w:tcW w:w="1579" w:type="dxa"/>
            <w:gridSpan w:val="2"/>
            <w:tcBorders>
              <w:left w:val="single" w:color="000000" w:sz="2" w:space="0"/>
              <w:right w:val="single" w:color="000000" w:sz="2" w:space="0"/>
            </w:tcBorders>
            <w:vAlign w:val="center"/>
          </w:tcPr>
          <w:p w14:paraId="051697A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ED43D2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反式氯丹、</w:t>
            </w:r>
          </w:p>
          <w:p w14:paraId="418EC89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AE70CC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D259FE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5C2AA3F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46DD980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E2C51C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B7D303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2DD5B85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8CD68B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F1995C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2088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C3660E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1.176</w:t>
            </w:r>
          </w:p>
        </w:tc>
        <w:tc>
          <w:tcPr>
            <w:tcW w:w="1579" w:type="dxa"/>
            <w:gridSpan w:val="2"/>
            <w:tcBorders>
              <w:left w:val="single" w:color="000000" w:sz="2" w:space="0"/>
              <w:right w:val="single" w:color="000000" w:sz="2" w:space="0"/>
            </w:tcBorders>
            <w:vAlign w:val="center"/>
          </w:tcPr>
          <w:p w14:paraId="333922C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2F17E1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氟胺氰菊酯、</w:t>
            </w:r>
          </w:p>
          <w:p w14:paraId="436A092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9E55BA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530CC1D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B65AAD3">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6DAD4C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04073E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40DAC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B7E3F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890C26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644CD7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1220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72421C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1.177</w:t>
            </w:r>
          </w:p>
        </w:tc>
        <w:tc>
          <w:tcPr>
            <w:tcW w:w="1579" w:type="dxa"/>
            <w:gridSpan w:val="2"/>
            <w:tcBorders>
              <w:left w:val="single" w:color="000000" w:sz="2" w:space="0"/>
              <w:right w:val="single" w:color="000000" w:sz="2" w:space="0"/>
            </w:tcBorders>
            <w:vAlign w:val="center"/>
          </w:tcPr>
          <w:p w14:paraId="235F0E1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A6684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氟氰戊菊酯、</w:t>
            </w:r>
          </w:p>
          <w:p w14:paraId="62B1258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55B800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4C3217E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0DB945C">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C3F39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640EDA2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5E89238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2B9140C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F30DE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BE74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7F8A5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45E549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1.178</w:t>
            </w:r>
          </w:p>
        </w:tc>
        <w:tc>
          <w:tcPr>
            <w:tcW w:w="1579" w:type="dxa"/>
            <w:gridSpan w:val="2"/>
            <w:tcBorders>
              <w:left w:val="single" w:color="000000" w:sz="2" w:space="0"/>
              <w:right w:val="single" w:color="000000" w:sz="2" w:space="0"/>
            </w:tcBorders>
            <w:vAlign w:val="center"/>
          </w:tcPr>
          <w:p w14:paraId="30B5F7F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A508D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氯氟氰菊酯、</w:t>
            </w:r>
          </w:p>
          <w:p w14:paraId="0E43396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B35C4A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F6BB4E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265ABA91">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5A7770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A21F0C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324B19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F7BDB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11EAFA7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6F385E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3DAF4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7CA1C7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1.179</w:t>
            </w:r>
          </w:p>
        </w:tc>
        <w:tc>
          <w:tcPr>
            <w:tcW w:w="1579" w:type="dxa"/>
            <w:gridSpan w:val="2"/>
            <w:tcBorders>
              <w:left w:val="single" w:color="000000" w:sz="2" w:space="0"/>
              <w:right w:val="single" w:color="000000" w:sz="2" w:space="0"/>
            </w:tcBorders>
            <w:vAlign w:val="center"/>
          </w:tcPr>
          <w:p w14:paraId="11148C9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35E66F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溴氰菊酯、</w:t>
            </w:r>
          </w:p>
          <w:p w14:paraId="70217B5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B6B097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49B64EB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24A31686">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B2CE5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1FB20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0BC8B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5B8F3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CB94F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2B1B0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3F01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372C3A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1.180</w:t>
            </w:r>
          </w:p>
        </w:tc>
        <w:tc>
          <w:tcPr>
            <w:tcW w:w="1579" w:type="dxa"/>
            <w:gridSpan w:val="2"/>
            <w:tcBorders>
              <w:left w:val="single" w:color="000000" w:sz="2" w:space="0"/>
              <w:right w:val="single" w:color="000000" w:sz="2" w:space="0"/>
            </w:tcBorders>
            <w:vAlign w:val="center"/>
          </w:tcPr>
          <w:p w14:paraId="63324E7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709433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氯氰菊酯、</w:t>
            </w:r>
          </w:p>
          <w:p w14:paraId="006EF98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F81CDF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9191E7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5F3E150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C50CC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A9DB9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2CC9D8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502A8D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3086B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9B7776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6AEBB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65EB39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1.181</w:t>
            </w:r>
          </w:p>
        </w:tc>
        <w:tc>
          <w:tcPr>
            <w:tcW w:w="1579" w:type="dxa"/>
            <w:gridSpan w:val="2"/>
            <w:tcBorders>
              <w:left w:val="single" w:color="000000" w:sz="2" w:space="0"/>
              <w:right w:val="single" w:color="000000" w:sz="2" w:space="0"/>
            </w:tcBorders>
            <w:vAlign w:val="center"/>
          </w:tcPr>
          <w:p w14:paraId="097E456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37D4043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伏杀硫磷、</w:t>
            </w:r>
          </w:p>
          <w:p w14:paraId="5E8C3F7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ED194E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47A1608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00CA6FED">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72B2C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867A3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0D878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74F27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2AE28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E9BFD3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0AA40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5AF1FB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1.182</w:t>
            </w:r>
          </w:p>
        </w:tc>
        <w:tc>
          <w:tcPr>
            <w:tcW w:w="1579" w:type="dxa"/>
            <w:gridSpan w:val="2"/>
            <w:tcBorders>
              <w:left w:val="single" w:color="000000" w:sz="2" w:space="0"/>
              <w:right w:val="single" w:color="000000" w:sz="2" w:space="0"/>
            </w:tcBorders>
            <w:vAlign w:val="center"/>
          </w:tcPr>
          <w:p w14:paraId="3F3F8F3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DBE3A0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艾氏剂、</w:t>
            </w:r>
          </w:p>
          <w:p w14:paraId="2178284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787948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4954CC1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31CA664">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7B54EB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6CE88D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B58D58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1C941C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902E6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A0A4D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F3E9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EE9BF8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1.183</w:t>
            </w:r>
          </w:p>
        </w:tc>
        <w:tc>
          <w:tcPr>
            <w:tcW w:w="1579" w:type="dxa"/>
            <w:gridSpan w:val="2"/>
            <w:tcBorders>
              <w:left w:val="single" w:color="000000" w:sz="2" w:space="0"/>
              <w:right w:val="single" w:color="000000" w:sz="2" w:space="0"/>
            </w:tcBorders>
            <w:vAlign w:val="center"/>
          </w:tcPr>
          <w:p w14:paraId="72D7908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3958343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狄氏剂、</w:t>
            </w:r>
          </w:p>
          <w:p w14:paraId="5492ED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48220D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48BA73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52A66DF">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834818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3C73E9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701C3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3EBDFD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99EBF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04AB49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6A3E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61386F0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1.188</w:t>
            </w:r>
          </w:p>
        </w:tc>
        <w:tc>
          <w:tcPr>
            <w:tcW w:w="1579" w:type="dxa"/>
            <w:gridSpan w:val="2"/>
            <w:tcBorders>
              <w:left w:val="single" w:color="000000" w:sz="2" w:space="0"/>
              <w:right w:val="single" w:color="000000" w:sz="2" w:space="0"/>
            </w:tcBorders>
            <w:vAlign w:val="center"/>
          </w:tcPr>
          <w:p w14:paraId="4494C23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67CFE2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五氯硝基苯、</w:t>
            </w:r>
          </w:p>
          <w:p w14:paraId="15B3A2E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593A769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79DE2CC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524D3EBC">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29BEE7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2AE005A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0552A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2B2E844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3BBA45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66B8295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07CE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75E98F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1.189</w:t>
            </w:r>
          </w:p>
        </w:tc>
        <w:tc>
          <w:tcPr>
            <w:tcW w:w="1579" w:type="dxa"/>
            <w:gridSpan w:val="2"/>
            <w:tcBorders>
              <w:left w:val="single" w:color="000000" w:sz="2" w:space="0"/>
              <w:right w:val="single" w:color="000000" w:sz="2" w:space="0"/>
            </w:tcBorders>
            <w:vAlign w:val="center"/>
          </w:tcPr>
          <w:p w14:paraId="695D8D9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4D6D27C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氯菊酯、</w:t>
            </w:r>
          </w:p>
          <w:p w14:paraId="00E95A9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8E6396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7B6661E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65CF62D">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03691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86811C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3915D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C33EA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F13C6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AEB9EA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82E3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701302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1.190</w:t>
            </w:r>
          </w:p>
        </w:tc>
        <w:tc>
          <w:tcPr>
            <w:tcW w:w="1579" w:type="dxa"/>
            <w:gridSpan w:val="2"/>
            <w:tcBorders>
              <w:left w:val="single" w:color="000000" w:sz="2" w:space="0"/>
              <w:right w:val="single" w:color="000000" w:sz="2" w:space="0"/>
            </w:tcBorders>
            <w:vAlign w:val="center"/>
          </w:tcPr>
          <w:p w14:paraId="3CD2C36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BA6CF8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氰戊菊酯、</w:t>
            </w:r>
          </w:p>
          <w:p w14:paraId="39191C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231A59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5BA4FC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21CD157F">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38710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B4ED1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BDFDA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537C2FB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3E295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0C8AFA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3F62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AFC96C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1.191</w:t>
            </w:r>
          </w:p>
        </w:tc>
        <w:tc>
          <w:tcPr>
            <w:tcW w:w="1579" w:type="dxa"/>
            <w:gridSpan w:val="2"/>
            <w:tcBorders>
              <w:left w:val="single" w:color="000000" w:sz="2" w:space="0"/>
              <w:right w:val="single" w:color="000000" w:sz="2" w:space="0"/>
            </w:tcBorders>
            <w:vAlign w:val="center"/>
          </w:tcPr>
          <w:p w14:paraId="29D0872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B64748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联苯菊酯、</w:t>
            </w:r>
          </w:p>
          <w:p w14:paraId="5B93FF8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53563C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35F473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63D46C6">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2E733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F3605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1A337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150EC4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07158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B747E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782A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19E722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1.194</w:t>
            </w:r>
          </w:p>
        </w:tc>
        <w:tc>
          <w:tcPr>
            <w:tcW w:w="1579" w:type="dxa"/>
            <w:gridSpan w:val="2"/>
            <w:tcBorders>
              <w:left w:val="single" w:color="000000" w:sz="2" w:space="0"/>
              <w:right w:val="single" w:color="000000" w:sz="2" w:space="0"/>
            </w:tcBorders>
            <w:vAlign w:val="center"/>
          </w:tcPr>
          <w:p w14:paraId="69204B1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821C15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敌敌畏、</w:t>
            </w:r>
          </w:p>
          <w:p w14:paraId="203EC39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CEFB9D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467307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7944B1E2">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9ABC41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258BE2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472F2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4A366A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344342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4B18232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6EB7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268358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1.195</w:t>
            </w:r>
          </w:p>
        </w:tc>
        <w:tc>
          <w:tcPr>
            <w:tcW w:w="1579" w:type="dxa"/>
            <w:gridSpan w:val="2"/>
            <w:tcBorders>
              <w:left w:val="single" w:color="000000" w:sz="2" w:space="0"/>
              <w:right w:val="single" w:color="000000" w:sz="2" w:space="0"/>
            </w:tcBorders>
            <w:vAlign w:val="center"/>
          </w:tcPr>
          <w:p w14:paraId="4461E57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916A01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乙酰甲胺磷、</w:t>
            </w:r>
          </w:p>
          <w:p w14:paraId="5581B16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D54381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5A20F0B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B29599B">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A227B1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1D7361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2652C6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A2365B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564332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8D7F2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619AD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6615BC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1.196</w:t>
            </w:r>
          </w:p>
        </w:tc>
        <w:tc>
          <w:tcPr>
            <w:tcW w:w="1579" w:type="dxa"/>
            <w:gridSpan w:val="2"/>
            <w:tcBorders>
              <w:left w:val="single" w:color="000000" w:sz="2" w:space="0"/>
              <w:right w:val="single" w:color="000000" w:sz="2" w:space="0"/>
            </w:tcBorders>
            <w:vAlign w:val="center"/>
          </w:tcPr>
          <w:p w14:paraId="34E6024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D7CD8D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甲拌磷、</w:t>
            </w:r>
          </w:p>
          <w:p w14:paraId="582A1A8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10ABD5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77C6E02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8B77B6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68922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1C8DBF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53A97D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4380D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185B10D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463B90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796BE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D51B93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1.197</w:t>
            </w:r>
          </w:p>
        </w:tc>
        <w:tc>
          <w:tcPr>
            <w:tcW w:w="1579" w:type="dxa"/>
            <w:gridSpan w:val="2"/>
            <w:tcBorders>
              <w:left w:val="single" w:color="000000" w:sz="2" w:space="0"/>
              <w:right w:val="single" w:color="000000" w:sz="2" w:space="0"/>
            </w:tcBorders>
            <w:vAlign w:val="center"/>
          </w:tcPr>
          <w:p w14:paraId="1257CAA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FA38D6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喹硫磷、</w:t>
            </w:r>
          </w:p>
          <w:p w14:paraId="703EED4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42286E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757929B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EDC120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13DC7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5A099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D1599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55E6219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1D05F1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3F0EF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695ED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4FCBE3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1.198</w:t>
            </w:r>
          </w:p>
        </w:tc>
        <w:tc>
          <w:tcPr>
            <w:tcW w:w="1579" w:type="dxa"/>
            <w:gridSpan w:val="2"/>
            <w:tcBorders>
              <w:left w:val="single" w:color="000000" w:sz="2" w:space="0"/>
              <w:right w:val="single" w:color="000000" w:sz="2" w:space="0"/>
            </w:tcBorders>
            <w:vAlign w:val="center"/>
          </w:tcPr>
          <w:p w14:paraId="3500BF8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2177B0F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久效磷、</w:t>
            </w:r>
          </w:p>
          <w:p w14:paraId="2AE95DF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0AA509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972254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005F0193">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3C8F9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ED054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9DA088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C52D3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365FF4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425E8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4BCF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6D6493D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1.199</w:t>
            </w:r>
          </w:p>
        </w:tc>
        <w:tc>
          <w:tcPr>
            <w:tcW w:w="1579" w:type="dxa"/>
            <w:gridSpan w:val="2"/>
            <w:tcBorders>
              <w:left w:val="single" w:color="000000" w:sz="2" w:space="0"/>
              <w:right w:val="single" w:color="000000" w:sz="2" w:space="0"/>
            </w:tcBorders>
            <w:vAlign w:val="center"/>
          </w:tcPr>
          <w:p w14:paraId="3FC80DD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33D09BD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乐果、</w:t>
            </w:r>
          </w:p>
          <w:p w14:paraId="3EDE543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A51D2E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7F6F07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5D0AA84">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48E8CD7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6160D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250B456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3CF689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C007B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40BDC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5A1B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3E80AE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1.200</w:t>
            </w:r>
          </w:p>
        </w:tc>
        <w:tc>
          <w:tcPr>
            <w:tcW w:w="1579" w:type="dxa"/>
            <w:gridSpan w:val="2"/>
            <w:tcBorders>
              <w:left w:val="single" w:color="000000" w:sz="2" w:space="0"/>
              <w:right w:val="single" w:color="000000" w:sz="2" w:space="0"/>
            </w:tcBorders>
            <w:vAlign w:val="center"/>
          </w:tcPr>
          <w:p w14:paraId="5F479ED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BCFC24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甲基对硫磷、</w:t>
            </w:r>
          </w:p>
          <w:p w14:paraId="0D0BB34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2C82868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F64A15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063BE1F">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5AD40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39934E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3CF263E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24105D9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1EAB15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62E5695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AE12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1AAA3A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1.201</w:t>
            </w:r>
          </w:p>
        </w:tc>
        <w:tc>
          <w:tcPr>
            <w:tcW w:w="1579" w:type="dxa"/>
            <w:gridSpan w:val="2"/>
            <w:tcBorders>
              <w:left w:val="single" w:color="000000" w:sz="2" w:space="0"/>
              <w:right w:val="single" w:color="000000" w:sz="2" w:space="0"/>
            </w:tcBorders>
            <w:vAlign w:val="center"/>
          </w:tcPr>
          <w:p w14:paraId="147A555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A8AC3A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马拉硫磷、</w:t>
            </w:r>
          </w:p>
          <w:p w14:paraId="56D3DA2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541309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CDB64A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D1AB7C5">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323C84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D14ED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096C7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3BC6F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8EF7F1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7912DF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0400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6F1432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1.203</w:t>
            </w:r>
          </w:p>
        </w:tc>
        <w:tc>
          <w:tcPr>
            <w:tcW w:w="1579" w:type="dxa"/>
            <w:gridSpan w:val="2"/>
            <w:tcBorders>
              <w:left w:val="single" w:color="000000" w:sz="2" w:space="0"/>
              <w:right w:val="single" w:color="000000" w:sz="2" w:space="0"/>
            </w:tcBorders>
            <w:vAlign w:val="center"/>
          </w:tcPr>
          <w:p w14:paraId="3E9FB1A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1B7564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毒死蜱、</w:t>
            </w:r>
          </w:p>
          <w:p w14:paraId="054F01E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2B50DE8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EB25CD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017EAE28">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42FE8E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E39582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5CD4006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5C5BA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311DB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8A2AA2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36FF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C5FF8C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1.204</w:t>
            </w:r>
          </w:p>
        </w:tc>
        <w:tc>
          <w:tcPr>
            <w:tcW w:w="1579" w:type="dxa"/>
            <w:gridSpan w:val="2"/>
            <w:tcBorders>
              <w:left w:val="single" w:color="000000" w:sz="2" w:space="0"/>
              <w:right w:val="single" w:color="000000" w:sz="2" w:space="0"/>
            </w:tcBorders>
            <w:vAlign w:val="center"/>
          </w:tcPr>
          <w:p w14:paraId="5271A5A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AB28C8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甲基嘧啶磷、</w:t>
            </w:r>
          </w:p>
          <w:p w14:paraId="434D249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D60432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68275A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05E4D2E8">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5DB6E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6DBDF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07050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88DC0F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35D87D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B60DCC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60012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02AB9B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1.205</w:t>
            </w:r>
          </w:p>
        </w:tc>
        <w:tc>
          <w:tcPr>
            <w:tcW w:w="1579" w:type="dxa"/>
            <w:gridSpan w:val="2"/>
            <w:tcBorders>
              <w:left w:val="single" w:color="000000" w:sz="2" w:space="0"/>
              <w:right w:val="single" w:color="000000" w:sz="2" w:space="0"/>
            </w:tcBorders>
            <w:vAlign w:val="center"/>
          </w:tcPr>
          <w:p w14:paraId="58B8623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603D4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倍硫磷、</w:t>
            </w:r>
          </w:p>
          <w:p w14:paraId="6F8AEB1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2B9DEA4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E4FF10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C9A843F">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00DEDB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990A7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5ED699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2BC79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865C9F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58567C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24BB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BA2CCB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1.206</w:t>
            </w:r>
          </w:p>
        </w:tc>
        <w:tc>
          <w:tcPr>
            <w:tcW w:w="1579" w:type="dxa"/>
            <w:gridSpan w:val="2"/>
            <w:tcBorders>
              <w:left w:val="single" w:color="000000" w:sz="2" w:space="0"/>
              <w:right w:val="single" w:color="000000" w:sz="2" w:space="0"/>
            </w:tcBorders>
            <w:vAlign w:val="center"/>
          </w:tcPr>
          <w:p w14:paraId="0C0D4BB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4AE6A28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对硫磷、</w:t>
            </w:r>
          </w:p>
          <w:p w14:paraId="5607B40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A0F9C6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F859A3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7A493CCA">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C46B2E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45AA1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E3394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50DD90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48D42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4EBBB6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70390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C96522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1.211</w:t>
            </w:r>
          </w:p>
        </w:tc>
        <w:tc>
          <w:tcPr>
            <w:tcW w:w="1579" w:type="dxa"/>
            <w:gridSpan w:val="2"/>
            <w:tcBorders>
              <w:left w:val="single" w:color="000000" w:sz="2" w:space="0"/>
              <w:right w:val="single" w:color="000000" w:sz="2" w:space="0"/>
            </w:tcBorders>
            <w:vAlign w:val="center"/>
          </w:tcPr>
          <w:p w14:paraId="4888238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D094FC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杀螟硫磷、</w:t>
            </w:r>
          </w:p>
          <w:p w14:paraId="457DB95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CB216F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5E181B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02DD74A7">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D78C19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22DFE4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350385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B1788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263979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CCFA9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6C746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70FA28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1.212</w:t>
            </w:r>
          </w:p>
        </w:tc>
        <w:tc>
          <w:tcPr>
            <w:tcW w:w="1579" w:type="dxa"/>
            <w:gridSpan w:val="2"/>
            <w:tcBorders>
              <w:left w:val="single" w:color="000000" w:sz="2" w:space="0"/>
              <w:right w:val="single" w:color="000000" w:sz="2" w:space="0"/>
            </w:tcBorders>
            <w:vAlign w:val="center"/>
          </w:tcPr>
          <w:p w14:paraId="3A654F2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F1BB9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敌瘟磷、</w:t>
            </w:r>
          </w:p>
          <w:p w14:paraId="42DA655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FF14ED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E1D19A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7713E83">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34B9FE5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445134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3CAB7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F98F22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138D2A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B8500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311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2B012C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1.214</w:t>
            </w:r>
          </w:p>
        </w:tc>
        <w:tc>
          <w:tcPr>
            <w:tcW w:w="1579" w:type="dxa"/>
            <w:gridSpan w:val="2"/>
            <w:tcBorders>
              <w:left w:val="single" w:color="000000" w:sz="2" w:space="0"/>
              <w:right w:val="single" w:color="000000" w:sz="2" w:space="0"/>
            </w:tcBorders>
            <w:vAlign w:val="center"/>
          </w:tcPr>
          <w:p w14:paraId="50D7D3B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4DC282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丙溴磷、</w:t>
            </w:r>
          </w:p>
          <w:p w14:paraId="1A6437A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4DEC0C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4AAC76D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A543526">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088621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5DA84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A524A5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F66C4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B25E6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5DB64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221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318517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1.215</w:t>
            </w:r>
          </w:p>
        </w:tc>
        <w:tc>
          <w:tcPr>
            <w:tcW w:w="1579" w:type="dxa"/>
            <w:gridSpan w:val="2"/>
            <w:tcBorders>
              <w:left w:val="single" w:color="000000" w:sz="2" w:space="0"/>
              <w:right w:val="single" w:color="000000" w:sz="2" w:space="0"/>
            </w:tcBorders>
            <w:vAlign w:val="center"/>
          </w:tcPr>
          <w:p w14:paraId="72288D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D244B7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甲基毒死蜱、</w:t>
            </w:r>
          </w:p>
          <w:p w14:paraId="66B50D8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0E8498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7F0209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42BF4BE">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01D30F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61CCBF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6E9041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359604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28DB4F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4A2756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04FCC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37CF6A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1.217</w:t>
            </w:r>
          </w:p>
        </w:tc>
        <w:tc>
          <w:tcPr>
            <w:tcW w:w="1579" w:type="dxa"/>
            <w:gridSpan w:val="2"/>
            <w:tcBorders>
              <w:left w:val="single" w:color="000000" w:sz="2" w:space="0"/>
              <w:right w:val="single" w:color="000000" w:sz="2" w:space="0"/>
            </w:tcBorders>
            <w:vAlign w:val="center"/>
          </w:tcPr>
          <w:p w14:paraId="0DFB0A8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6DF03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稻瘟灵、</w:t>
            </w:r>
          </w:p>
          <w:p w14:paraId="2C75EF4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8F5C03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1FF3AA7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0DA320B5">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5BF28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284538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CE929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14C43F3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25579CE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F7A63A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28B1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87104B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1.218</w:t>
            </w:r>
          </w:p>
        </w:tc>
        <w:tc>
          <w:tcPr>
            <w:tcW w:w="1579" w:type="dxa"/>
            <w:gridSpan w:val="2"/>
            <w:tcBorders>
              <w:left w:val="single" w:color="000000" w:sz="2" w:space="0"/>
              <w:right w:val="single" w:color="000000" w:sz="2" w:space="0"/>
            </w:tcBorders>
            <w:vAlign w:val="center"/>
          </w:tcPr>
          <w:p w14:paraId="090BCF0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AF8037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乙硫磷、</w:t>
            </w:r>
          </w:p>
          <w:p w14:paraId="017FEE9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D35D06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44C5E5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50D9D94">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4E02DB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120ED3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243D9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A8F85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740188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629532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5EDE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6E1B01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1.219</w:t>
            </w:r>
          </w:p>
        </w:tc>
        <w:tc>
          <w:tcPr>
            <w:tcW w:w="1579" w:type="dxa"/>
            <w:gridSpan w:val="2"/>
            <w:tcBorders>
              <w:left w:val="single" w:color="000000" w:sz="2" w:space="0"/>
              <w:right w:val="single" w:color="000000" w:sz="2" w:space="0"/>
            </w:tcBorders>
            <w:vAlign w:val="center"/>
          </w:tcPr>
          <w:p w14:paraId="413640E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3B81425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氧乐果、</w:t>
            </w:r>
          </w:p>
          <w:p w14:paraId="5ECAF9B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000000"/>
                <w:kern w:val="2"/>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963395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4BBE5F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i w:val="0"/>
                <w:iCs w:val="0"/>
                <w:snapToGrid w:val="0"/>
                <w:color w:val="000000"/>
                <w:kern w:val="0"/>
                <w:sz w:val="21"/>
                <w:szCs w:val="21"/>
                <w:u w:val="none"/>
                <w:lang w:val="en-US" w:eastAsia="en-US" w:bidi="ar"/>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2329AC6A">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90347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88ED6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329CA5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19EE21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048FE7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0D703AD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0A786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3ECF35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1.221</w:t>
            </w:r>
          </w:p>
        </w:tc>
        <w:tc>
          <w:tcPr>
            <w:tcW w:w="1579" w:type="dxa"/>
            <w:gridSpan w:val="2"/>
            <w:tcBorders>
              <w:left w:val="single" w:color="000000" w:sz="2" w:space="0"/>
              <w:right w:val="single" w:color="000000" w:sz="2" w:space="0"/>
            </w:tcBorders>
            <w:vAlign w:val="center"/>
          </w:tcPr>
          <w:p w14:paraId="103CBB6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9735F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异丙威、</w:t>
            </w:r>
          </w:p>
          <w:p w14:paraId="22AA54F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73CA7D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FB2445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2BA676DA">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20E49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DB4152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66F95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20E059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38DC4C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BCCA2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73E54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0EC3D8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1.224</w:t>
            </w:r>
          </w:p>
        </w:tc>
        <w:tc>
          <w:tcPr>
            <w:tcW w:w="1579" w:type="dxa"/>
            <w:gridSpan w:val="2"/>
            <w:tcBorders>
              <w:left w:val="single" w:color="000000" w:sz="2" w:space="0"/>
              <w:right w:val="single" w:color="000000" w:sz="2" w:space="0"/>
            </w:tcBorders>
            <w:vAlign w:val="center"/>
          </w:tcPr>
          <w:p w14:paraId="5102432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20CFE4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敌稗、</w:t>
            </w:r>
          </w:p>
          <w:p w14:paraId="393B9EE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B8ED88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41BDE87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462A6D90">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BC544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1A4C4CA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6D7689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6F92AE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7D9B99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BE54FE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14F84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DC63EF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1.225</w:t>
            </w:r>
          </w:p>
        </w:tc>
        <w:tc>
          <w:tcPr>
            <w:tcW w:w="1579" w:type="dxa"/>
            <w:gridSpan w:val="2"/>
            <w:tcBorders>
              <w:left w:val="single" w:color="000000" w:sz="2" w:space="0"/>
              <w:right w:val="single" w:color="000000" w:sz="2" w:space="0"/>
            </w:tcBorders>
            <w:vAlign w:val="center"/>
          </w:tcPr>
          <w:p w14:paraId="0E6A75E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0F68F5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丁草胺、</w:t>
            </w:r>
          </w:p>
          <w:p w14:paraId="6DFBA05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72A48A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32CDF2D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5D741488">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A140F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002DE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C180F0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1DE96BF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FCEA1A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72861C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57E82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433288A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1.226</w:t>
            </w:r>
          </w:p>
        </w:tc>
        <w:tc>
          <w:tcPr>
            <w:tcW w:w="1579" w:type="dxa"/>
            <w:gridSpan w:val="2"/>
            <w:tcBorders>
              <w:left w:val="single" w:color="000000" w:sz="2" w:space="0"/>
              <w:right w:val="single" w:color="000000" w:sz="2" w:space="0"/>
            </w:tcBorders>
            <w:vAlign w:val="center"/>
          </w:tcPr>
          <w:p w14:paraId="1772E6A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FB8D69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氟酰胺、</w:t>
            </w:r>
          </w:p>
          <w:p w14:paraId="007D1E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6E5B86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1B42AE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3002DDD4">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18AED7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4C8F78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AF706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57E058D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9587F9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60347D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7DB06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D43B2E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1.227</w:t>
            </w:r>
          </w:p>
        </w:tc>
        <w:tc>
          <w:tcPr>
            <w:tcW w:w="1579" w:type="dxa"/>
            <w:gridSpan w:val="2"/>
            <w:tcBorders>
              <w:left w:val="single" w:color="000000" w:sz="2" w:space="0"/>
              <w:right w:val="single" w:color="000000" w:sz="2" w:space="0"/>
            </w:tcBorders>
            <w:vAlign w:val="center"/>
          </w:tcPr>
          <w:p w14:paraId="22B6BDB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3EAB198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丙草胺、</w:t>
            </w:r>
          </w:p>
          <w:p w14:paraId="31B907F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693A14F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517DB6D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561E72D5">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975F8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518D0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3C33BA3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A7C81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86A72E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185A5D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5D26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0DAF00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1.229</w:t>
            </w:r>
          </w:p>
        </w:tc>
        <w:tc>
          <w:tcPr>
            <w:tcW w:w="1579" w:type="dxa"/>
            <w:gridSpan w:val="2"/>
            <w:tcBorders>
              <w:left w:val="single" w:color="000000" w:sz="2" w:space="0"/>
              <w:right w:val="single" w:color="000000" w:sz="2" w:space="0"/>
            </w:tcBorders>
            <w:vAlign w:val="center"/>
          </w:tcPr>
          <w:p w14:paraId="2EC0A9A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87064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莠去津、</w:t>
            </w:r>
          </w:p>
          <w:p w14:paraId="02411DA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19127A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6FC9D9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5E296640">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DB0820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239AFB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F98B0B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9FCF2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6525A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2ED9A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C214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185E484">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1.231</w:t>
            </w:r>
          </w:p>
        </w:tc>
        <w:tc>
          <w:tcPr>
            <w:tcW w:w="1579" w:type="dxa"/>
            <w:gridSpan w:val="2"/>
            <w:tcBorders>
              <w:left w:val="single" w:color="000000" w:sz="2" w:space="0"/>
              <w:right w:val="single" w:color="000000" w:sz="2" w:space="0"/>
            </w:tcBorders>
            <w:vAlign w:val="center"/>
          </w:tcPr>
          <w:p w14:paraId="7589FA6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158E95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禾草敌、</w:t>
            </w:r>
          </w:p>
          <w:p w14:paraId="18EE60D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760300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4C66F1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73FC371D">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4A1002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40CE1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79CA2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29A049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10DA15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0FC655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5DD19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AAD180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1.235</w:t>
            </w:r>
          </w:p>
        </w:tc>
        <w:tc>
          <w:tcPr>
            <w:tcW w:w="1579" w:type="dxa"/>
            <w:gridSpan w:val="2"/>
            <w:tcBorders>
              <w:left w:val="single" w:color="000000" w:sz="2" w:space="0"/>
              <w:right w:val="single" w:color="000000" w:sz="2" w:space="0"/>
            </w:tcBorders>
            <w:vAlign w:val="center"/>
          </w:tcPr>
          <w:p w14:paraId="04A1937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8ED235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增效醚、</w:t>
            </w:r>
          </w:p>
          <w:p w14:paraId="2A91012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5CBE58C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8DBDCE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0F521DD">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95BFE3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D7BDC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46570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289E21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63613E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02E6CF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0EAC6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EAA2A6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1.237</w:t>
            </w:r>
          </w:p>
        </w:tc>
        <w:tc>
          <w:tcPr>
            <w:tcW w:w="1579" w:type="dxa"/>
            <w:gridSpan w:val="2"/>
            <w:tcBorders>
              <w:left w:val="single" w:color="000000" w:sz="2" w:space="0"/>
              <w:right w:val="single" w:color="000000" w:sz="2" w:space="0"/>
            </w:tcBorders>
            <w:vAlign w:val="center"/>
          </w:tcPr>
          <w:p w14:paraId="00F5D2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B7E3FB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多效唑、</w:t>
            </w:r>
          </w:p>
          <w:p w14:paraId="69CB0C8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78D793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D309B2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D260364">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11F82E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04CF70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65B7EE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5039E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8E65D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1F5CA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ECD6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61ECA0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1.238</w:t>
            </w:r>
          </w:p>
        </w:tc>
        <w:tc>
          <w:tcPr>
            <w:tcW w:w="1579" w:type="dxa"/>
            <w:gridSpan w:val="2"/>
            <w:tcBorders>
              <w:left w:val="single" w:color="000000" w:sz="2" w:space="0"/>
              <w:right w:val="single" w:color="000000" w:sz="2" w:space="0"/>
            </w:tcBorders>
            <w:vAlign w:val="center"/>
          </w:tcPr>
          <w:p w14:paraId="0F1B12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0C550BF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吡丙醚、</w:t>
            </w:r>
          </w:p>
          <w:p w14:paraId="6C4B43B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52E113F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0B0519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123E48E6">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CB38B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236C4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B38AD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18C468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58090E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5D4409A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4E5C3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177677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1.250</w:t>
            </w:r>
          </w:p>
        </w:tc>
        <w:tc>
          <w:tcPr>
            <w:tcW w:w="1579" w:type="dxa"/>
            <w:gridSpan w:val="2"/>
            <w:tcBorders>
              <w:left w:val="single" w:color="000000" w:sz="2" w:space="0"/>
              <w:right w:val="single" w:color="000000" w:sz="2" w:space="0"/>
            </w:tcBorders>
            <w:vAlign w:val="center"/>
          </w:tcPr>
          <w:p w14:paraId="36AD677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40566E1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腐霉利、</w:t>
            </w:r>
          </w:p>
          <w:p w14:paraId="37FEE41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2000D69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2B4DEC5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72CC9C5">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5B53CA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690E75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DB0BE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486E3F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768F8D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363625C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5C2E1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1D3F2C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1.251</w:t>
            </w:r>
          </w:p>
        </w:tc>
        <w:tc>
          <w:tcPr>
            <w:tcW w:w="1579" w:type="dxa"/>
            <w:gridSpan w:val="2"/>
            <w:tcBorders>
              <w:left w:val="single" w:color="000000" w:sz="2" w:space="0"/>
              <w:right w:val="single" w:color="000000" w:sz="2" w:space="0"/>
            </w:tcBorders>
            <w:vAlign w:val="center"/>
          </w:tcPr>
          <w:p w14:paraId="7C8AC05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70E3746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三唑酮、</w:t>
            </w:r>
          </w:p>
          <w:p w14:paraId="018406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3C48700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4BB9A2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79A162B3">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B30E3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056E1D7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F0A05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22F70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C742FA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38091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C2EC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24B69A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3.1</w:t>
            </w:r>
          </w:p>
        </w:tc>
        <w:tc>
          <w:tcPr>
            <w:tcW w:w="1579" w:type="dxa"/>
            <w:gridSpan w:val="2"/>
            <w:tcBorders>
              <w:left w:val="single" w:color="000000" w:sz="2" w:space="0"/>
              <w:right w:val="single" w:color="000000" w:sz="2" w:space="0"/>
            </w:tcBorders>
            <w:vAlign w:val="center"/>
          </w:tcPr>
          <w:p w14:paraId="0C7DECC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3FE2BA2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水胺硫磷、</w:t>
            </w:r>
          </w:p>
          <w:p w14:paraId="4A714B3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A25FCC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1C80A4B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7453767C">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5C886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50A4A1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63286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960D1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B49EA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CEF62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55BB6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BB6ACB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3.2</w:t>
            </w:r>
          </w:p>
        </w:tc>
        <w:tc>
          <w:tcPr>
            <w:tcW w:w="1579" w:type="dxa"/>
            <w:gridSpan w:val="2"/>
            <w:tcBorders>
              <w:left w:val="single" w:color="000000" w:sz="2" w:space="0"/>
              <w:right w:val="single" w:color="000000" w:sz="2" w:space="0"/>
            </w:tcBorders>
            <w:vAlign w:val="center"/>
          </w:tcPr>
          <w:p w14:paraId="026DED7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773391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甲基异柳磷、</w:t>
            </w:r>
          </w:p>
          <w:p w14:paraId="14BFE80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B7EAA4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F48973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7E45534B">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37DD79F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71C5398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015936B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0D2C4A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434267F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2DD79A2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23337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8AD27A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3.3</w:t>
            </w:r>
          </w:p>
        </w:tc>
        <w:tc>
          <w:tcPr>
            <w:tcW w:w="1579" w:type="dxa"/>
            <w:gridSpan w:val="2"/>
            <w:tcBorders>
              <w:left w:val="single" w:color="000000" w:sz="2" w:space="0"/>
              <w:right w:val="single" w:color="000000" w:sz="2" w:space="0"/>
            </w:tcBorders>
            <w:vAlign w:val="center"/>
          </w:tcPr>
          <w:p w14:paraId="60B49BA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4F0A62D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灭线磷、</w:t>
            </w:r>
          </w:p>
          <w:p w14:paraId="2CEA22B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2A044C7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67CEC1B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25A2641C">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8A59F4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1E849E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C0F32C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38AB7E9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9B05C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6F39EBD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w:t>
            </w:r>
            <w:r>
              <w:rPr>
                <w:rFonts w:hint="eastAsia" w:ascii="Times New Roman" w:hAnsi="Times New Roman" w:eastAsia="仿宋_GB2312" w:cs="Times New Roman"/>
                <w:color w:val="auto"/>
                <w:sz w:val="22"/>
                <w:szCs w:val="22"/>
                <w:lang w:val="en-US" w:eastAsia="zh-CN"/>
              </w:rPr>
              <w:t>限。</w:t>
            </w:r>
          </w:p>
        </w:tc>
      </w:tr>
      <w:tr w14:paraId="3FEF9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08991B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3.4</w:t>
            </w:r>
          </w:p>
        </w:tc>
        <w:tc>
          <w:tcPr>
            <w:tcW w:w="1579" w:type="dxa"/>
            <w:gridSpan w:val="2"/>
            <w:tcBorders>
              <w:left w:val="single" w:color="000000" w:sz="2" w:space="0"/>
              <w:right w:val="single" w:color="000000" w:sz="2" w:space="0"/>
            </w:tcBorders>
            <w:vAlign w:val="center"/>
          </w:tcPr>
          <w:p w14:paraId="018832C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16D940A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甲胺磷、</w:t>
            </w:r>
          </w:p>
          <w:p w14:paraId="2E0E90E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1C2BE7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植物源性食品中208种农药及其代谢物残留量的测定 气相色谱-质谱联用法》GB 23200.113-2018</w:t>
            </w:r>
          </w:p>
        </w:tc>
        <w:tc>
          <w:tcPr>
            <w:tcW w:w="2171" w:type="dxa"/>
            <w:tcBorders>
              <w:right w:val="single" w:color="000000" w:sz="2" w:space="0"/>
            </w:tcBorders>
            <w:vAlign w:val="center"/>
          </w:tcPr>
          <w:p w14:paraId="05D6BD18">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植物源性食品中242种农药及其代谢物残留量的测定 气相色谱-质谱联用法》GB 23200.113-2026</w:t>
            </w:r>
          </w:p>
        </w:tc>
        <w:tc>
          <w:tcPr>
            <w:tcW w:w="626" w:type="dxa"/>
            <w:tcBorders>
              <w:left w:val="single" w:color="000000" w:sz="2" w:space="0"/>
            </w:tcBorders>
            <w:vAlign w:val="center"/>
          </w:tcPr>
          <w:p w14:paraId="63AE7BA8">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1C6B0F6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242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气相色谱 质谱联用法</w:t>
            </w:r>
            <w:r>
              <w:rPr>
                <w:rFonts w:hint="eastAsia" w:ascii="Times New Roman" w:hAnsi="Times New Roman" w:eastAsia="仿宋_GB2312" w:cs="Times New Roman"/>
                <w:color w:val="auto"/>
                <w:sz w:val="22"/>
                <w:szCs w:val="22"/>
                <w:lang w:val="en-US" w:eastAsia="zh-CN"/>
              </w:rPr>
              <w:t>》；</w:t>
            </w:r>
          </w:p>
          <w:p w14:paraId="3A5BA9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34</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B9C292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6FFD50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w:t>
            </w:r>
            <w:r>
              <w:rPr>
                <w:rFonts w:hint="eastAsia" w:ascii="Times New Roman" w:hAnsi="Times New Roman" w:eastAsia="仿宋_GB2312" w:cs="Times New Roman"/>
                <w:color w:val="auto"/>
                <w:sz w:val="22"/>
                <w:szCs w:val="22"/>
                <w:lang w:val="en-US" w:eastAsia="zh-CN"/>
              </w:rPr>
              <w:t>噁</w:t>
            </w:r>
            <w:r>
              <w:rPr>
                <w:rFonts w:hint="default" w:ascii="Times New Roman" w:hAnsi="Times New Roman" w:eastAsia="仿宋_GB2312" w:cs="Times New Roman"/>
                <w:color w:val="auto"/>
                <w:sz w:val="22"/>
                <w:szCs w:val="22"/>
                <w:lang w:val="en-US" w:eastAsia="zh-CN"/>
              </w:rPr>
              <w:t>唑啉的中文名称</w:t>
            </w:r>
            <w:r>
              <w:rPr>
                <w:rFonts w:hint="eastAsia" w:ascii="Times New Roman" w:hAnsi="Times New Roman" w:eastAsia="仿宋_GB2312" w:cs="Times New Roman"/>
                <w:color w:val="auto"/>
                <w:sz w:val="22"/>
                <w:szCs w:val="22"/>
                <w:lang w:val="en-US" w:eastAsia="zh-CN"/>
              </w:rPr>
              <w:t>；</w:t>
            </w:r>
          </w:p>
          <w:p w14:paraId="6B82348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增加了标准曲线计算公式</w:t>
            </w:r>
            <w:r>
              <w:rPr>
                <w:rFonts w:hint="eastAsia" w:ascii="Times New Roman" w:hAnsi="Times New Roman" w:eastAsia="仿宋_GB2312" w:cs="Times New Roman"/>
                <w:color w:val="auto"/>
                <w:sz w:val="22"/>
                <w:szCs w:val="22"/>
                <w:lang w:val="en-US" w:eastAsia="zh-CN"/>
              </w:rPr>
              <w:t>；</w:t>
            </w:r>
          </w:p>
          <w:p w14:paraId="188E1CE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6.</w:t>
            </w:r>
            <w:r>
              <w:rPr>
                <w:rFonts w:hint="default" w:ascii="Times New Roman" w:hAnsi="Times New Roman" w:eastAsia="仿宋_GB2312" w:cs="Times New Roman"/>
                <w:color w:val="auto"/>
                <w:sz w:val="22"/>
                <w:szCs w:val="22"/>
                <w:lang w:val="en-US" w:eastAsia="zh-CN"/>
              </w:rPr>
              <w:t>更改了克百威等８种农药的方法定量限。</w:t>
            </w:r>
          </w:p>
        </w:tc>
      </w:tr>
      <w:tr w14:paraId="34017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85FDEB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3.5</w:t>
            </w:r>
          </w:p>
        </w:tc>
        <w:tc>
          <w:tcPr>
            <w:tcW w:w="1579" w:type="dxa"/>
            <w:gridSpan w:val="2"/>
            <w:tcBorders>
              <w:left w:val="single" w:color="000000" w:sz="2" w:space="0"/>
              <w:right w:val="single" w:color="000000" w:sz="2" w:space="0"/>
            </w:tcBorders>
            <w:vAlign w:val="center"/>
          </w:tcPr>
          <w:p w14:paraId="3BBF858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C4EF6B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涕灭威、</w:t>
            </w:r>
          </w:p>
          <w:p w14:paraId="7E30D5B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480C96D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《食品安全国家标准 植物源性食品中331种农药及其代谢物残留量的测定 液相色谱—质谱联用法》GB 23200.121-2021 </w:t>
            </w:r>
          </w:p>
        </w:tc>
        <w:tc>
          <w:tcPr>
            <w:tcW w:w="2171" w:type="dxa"/>
            <w:tcBorders>
              <w:right w:val="single" w:color="000000" w:sz="2" w:space="0"/>
            </w:tcBorders>
            <w:vAlign w:val="center"/>
          </w:tcPr>
          <w:p w14:paraId="4ABBC6E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《食品安全国家标准 植物源性食品中352种农药及其代谢物残留量的测定 液相色谱-质谱联用法》GB 23200.121-2026 </w:t>
            </w:r>
          </w:p>
        </w:tc>
        <w:tc>
          <w:tcPr>
            <w:tcW w:w="626" w:type="dxa"/>
            <w:tcBorders>
              <w:left w:val="single" w:color="000000" w:sz="2" w:space="0"/>
            </w:tcBorders>
            <w:vAlign w:val="center"/>
          </w:tcPr>
          <w:p w14:paraId="385F6883">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4F4AAFC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352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液相色谱</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质谱联用法</w:t>
            </w:r>
            <w:r>
              <w:rPr>
                <w:rFonts w:hint="eastAsia" w:ascii="Times New Roman" w:hAnsi="Times New Roman" w:eastAsia="仿宋_GB2312" w:cs="Times New Roman"/>
                <w:color w:val="auto"/>
                <w:sz w:val="22"/>
                <w:szCs w:val="22"/>
                <w:lang w:val="en-US" w:eastAsia="zh-CN"/>
              </w:rPr>
              <w:t>》；</w:t>
            </w:r>
          </w:p>
          <w:p w14:paraId="1AE8F7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21</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738B99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4AFEAC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更改了噻氟菌胺和喔草酯的中文名称</w:t>
            </w:r>
            <w:r>
              <w:rPr>
                <w:rFonts w:hint="eastAsia" w:ascii="Times New Roman" w:hAnsi="Times New Roman" w:eastAsia="仿宋_GB2312" w:cs="Times New Roman"/>
                <w:color w:val="auto"/>
                <w:sz w:val="22"/>
                <w:szCs w:val="22"/>
                <w:lang w:val="en-US" w:eastAsia="zh-CN"/>
              </w:rPr>
              <w:t>；</w:t>
            </w:r>
          </w:p>
          <w:p w14:paraId="1A1F1D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更改了啶虫脒等</w:t>
            </w:r>
            <w:r>
              <w:rPr>
                <w:rFonts w:hint="eastAsia" w:ascii="Times New Roman" w:hAnsi="Times New Roman" w:eastAsia="仿宋_GB2312" w:cs="Times New Roman"/>
                <w:color w:val="auto"/>
                <w:sz w:val="22"/>
                <w:szCs w:val="22"/>
                <w:lang w:val="en-US" w:eastAsia="zh-CN"/>
              </w:rPr>
              <w:t>10</w:t>
            </w:r>
            <w:r>
              <w:rPr>
                <w:rFonts w:hint="default" w:ascii="Times New Roman" w:hAnsi="Times New Roman" w:eastAsia="仿宋_GB2312" w:cs="Times New Roman"/>
                <w:color w:val="auto"/>
                <w:sz w:val="22"/>
                <w:szCs w:val="22"/>
                <w:lang w:val="en-US" w:eastAsia="zh-CN"/>
              </w:rPr>
              <w:t>种农药和代谢物的方法定量限。</w:t>
            </w:r>
          </w:p>
        </w:tc>
      </w:tr>
      <w:tr w14:paraId="09F4D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22ABF3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3.6</w:t>
            </w:r>
          </w:p>
        </w:tc>
        <w:tc>
          <w:tcPr>
            <w:tcW w:w="1579" w:type="dxa"/>
            <w:gridSpan w:val="2"/>
            <w:tcBorders>
              <w:left w:val="single" w:color="000000" w:sz="2" w:space="0"/>
              <w:right w:val="single" w:color="000000" w:sz="2" w:space="0"/>
            </w:tcBorders>
            <w:vAlign w:val="center"/>
          </w:tcPr>
          <w:p w14:paraId="151404D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6AF3E62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克百威、</w:t>
            </w:r>
          </w:p>
          <w:p w14:paraId="4105936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1EEFB7F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《食品安全国家标准 植物源性食品中331种农药及其代谢物残留量的测定 液相色谱—质谱联用法》GB 23200.121-2021 </w:t>
            </w:r>
          </w:p>
        </w:tc>
        <w:tc>
          <w:tcPr>
            <w:tcW w:w="2171" w:type="dxa"/>
            <w:tcBorders>
              <w:right w:val="single" w:color="000000" w:sz="2" w:space="0"/>
            </w:tcBorders>
            <w:vAlign w:val="center"/>
          </w:tcPr>
          <w:p w14:paraId="7FECC75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《食品安全国家标准 植物源性食品中352种农药及其代谢物残留量的测定 液相色谱-质谱联用法》GB 23200.121-2026 </w:t>
            </w:r>
          </w:p>
        </w:tc>
        <w:tc>
          <w:tcPr>
            <w:tcW w:w="626" w:type="dxa"/>
            <w:tcBorders>
              <w:left w:val="single" w:color="000000" w:sz="2" w:space="0"/>
            </w:tcBorders>
            <w:vAlign w:val="center"/>
          </w:tcPr>
          <w:p w14:paraId="263E77FB">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8DCC9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352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液相色谱</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质谱联用法</w:t>
            </w:r>
            <w:r>
              <w:rPr>
                <w:rFonts w:hint="eastAsia" w:ascii="Times New Roman" w:hAnsi="Times New Roman" w:eastAsia="仿宋_GB2312" w:cs="Times New Roman"/>
                <w:color w:val="auto"/>
                <w:sz w:val="22"/>
                <w:szCs w:val="22"/>
                <w:lang w:val="en-US" w:eastAsia="zh-CN"/>
              </w:rPr>
              <w:t>》；</w:t>
            </w:r>
          </w:p>
          <w:p w14:paraId="0918BAF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21</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44F7211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1998A2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更改了噻氟菌胺和喔草酯的中文名称</w:t>
            </w:r>
            <w:r>
              <w:rPr>
                <w:rFonts w:hint="eastAsia" w:ascii="Times New Roman" w:hAnsi="Times New Roman" w:eastAsia="仿宋_GB2312" w:cs="Times New Roman"/>
                <w:color w:val="auto"/>
                <w:sz w:val="22"/>
                <w:szCs w:val="22"/>
                <w:lang w:val="en-US" w:eastAsia="zh-CN"/>
              </w:rPr>
              <w:t>；</w:t>
            </w:r>
          </w:p>
          <w:p w14:paraId="497810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更改了啶虫脒等</w:t>
            </w:r>
            <w:r>
              <w:rPr>
                <w:rFonts w:hint="eastAsia" w:ascii="Times New Roman" w:hAnsi="Times New Roman" w:eastAsia="仿宋_GB2312" w:cs="Times New Roman"/>
                <w:color w:val="auto"/>
                <w:sz w:val="22"/>
                <w:szCs w:val="22"/>
                <w:lang w:val="en-US" w:eastAsia="zh-CN"/>
              </w:rPr>
              <w:t>10</w:t>
            </w:r>
            <w:r>
              <w:rPr>
                <w:rFonts w:hint="default" w:ascii="Times New Roman" w:hAnsi="Times New Roman" w:eastAsia="仿宋_GB2312" w:cs="Times New Roman"/>
                <w:color w:val="auto"/>
                <w:sz w:val="22"/>
                <w:szCs w:val="22"/>
                <w:lang w:val="en-US" w:eastAsia="zh-CN"/>
              </w:rPr>
              <w:t>种农药和代谢物的方法定量限。</w:t>
            </w:r>
          </w:p>
        </w:tc>
      </w:tr>
      <w:tr w14:paraId="1A1A1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F93EF6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3.7</w:t>
            </w:r>
          </w:p>
        </w:tc>
        <w:tc>
          <w:tcPr>
            <w:tcW w:w="1579" w:type="dxa"/>
            <w:gridSpan w:val="2"/>
            <w:tcBorders>
              <w:left w:val="single" w:color="000000" w:sz="2" w:space="0"/>
              <w:right w:val="single" w:color="000000" w:sz="2" w:space="0"/>
            </w:tcBorders>
            <w:vAlign w:val="center"/>
          </w:tcPr>
          <w:p w14:paraId="1987B7C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农药残留</w:t>
            </w:r>
          </w:p>
          <w:p w14:paraId="5542EE0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灭多威、</w:t>
            </w:r>
          </w:p>
          <w:p w14:paraId="7452372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5</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9</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15</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5F75B06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植物源性食品中331种农药及其代谢物残留量的测定 液相色谱—质谱联用法》</w:t>
            </w:r>
            <w:r>
              <w:rPr>
                <w:rFonts w:hint="eastAsia" w:ascii="Times New Roman" w:hAnsi="Times New Roman" w:eastAsia="仿宋_GB2312" w:cs="Times New Roman"/>
                <w:snapToGrid w:val="0"/>
                <w:color w:val="000000"/>
                <w:kern w:val="0"/>
                <w:sz w:val="22"/>
                <w:szCs w:val="22"/>
                <w:lang w:val="en-US" w:eastAsia="zh-CN" w:bidi="ar-SA"/>
              </w:rPr>
              <w:t xml:space="preserve">    </w:t>
            </w:r>
            <w:r>
              <w:rPr>
                <w:rFonts w:hint="default" w:ascii="Times New Roman" w:hAnsi="Times New Roman" w:eastAsia="仿宋_GB2312" w:cs="Times New Roman"/>
                <w:snapToGrid w:val="0"/>
                <w:color w:val="000000"/>
                <w:kern w:val="0"/>
                <w:sz w:val="22"/>
                <w:szCs w:val="22"/>
                <w:lang w:val="en-US" w:eastAsia="en-US" w:bidi="ar-SA"/>
              </w:rPr>
              <w:t xml:space="preserve">GB 23200.121-2021 </w:t>
            </w:r>
          </w:p>
        </w:tc>
        <w:tc>
          <w:tcPr>
            <w:tcW w:w="2171" w:type="dxa"/>
            <w:tcBorders>
              <w:right w:val="single" w:color="000000" w:sz="2" w:space="0"/>
            </w:tcBorders>
            <w:vAlign w:val="center"/>
          </w:tcPr>
          <w:p w14:paraId="310F36F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《食品安全国家标准 植物源性食品中352种农药及其代谢物残留量的测定 液相色谱-质谱联用法》</w:t>
            </w:r>
            <w:r>
              <w:rPr>
                <w:rFonts w:hint="eastAsia" w:ascii="Times New Roman" w:hAnsi="Times New Roman" w:eastAsia="仿宋_GB2312" w:cs="Times New Roman"/>
                <w:snapToGrid w:val="0"/>
                <w:color w:val="000000"/>
                <w:kern w:val="0"/>
                <w:sz w:val="22"/>
                <w:szCs w:val="22"/>
                <w:lang w:val="en-US" w:eastAsia="zh-CN" w:bidi="ar-SA"/>
              </w:rPr>
              <w:t xml:space="preserve">              </w:t>
            </w:r>
            <w:r>
              <w:rPr>
                <w:rFonts w:hint="default" w:ascii="Times New Roman" w:hAnsi="Times New Roman" w:eastAsia="仿宋_GB2312" w:cs="Times New Roman"/>
                <w:snapToGrid w:val="0"/>
                <w:color w:val="000000"/>
                <w:kern w:val="0"/>
                <w:sz w:val="22"/>
                <w:szCs w:val="22"/>
                <w:lang w:val="en-US" w:eastAsia="en-US" w:bidi="ar-SA"/>
              </w:rPr>
              <w:t xml:space="preserve">GB 23200.121-2026 </w:t>
            </w:r>
          </w:p>
        </w:tc>
        <w:tc>
          <w:tcPr>
            <w:tcW w:w="626" w:type="dxa"/>
            <w:tcBorders>
              <w:left w:val="single" w:color="000000" w:sz="2" w:space="0"/>
            </w:tcBorders>
            <w:vAlign w:val="center"/>
          </w:tcPr>
          <w:p w14:paraId="47C338CE">
            <w:pPr>
              <w:keepNext w:val="0"/>
              <w:keepLines w:val="0"/>
              <w:pageBreakBefore w:val="0"/>
              <w:widowControl/>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153B5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标准名称更改为</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食品安全国家标准 植物源性食品中</w:t>
            </w:r>
            <w:r>
              <w:rPr>
                <w:rFonts w:hint="eastAsia" w:ascii="Times New Roman" w:hAnsi="Times New Roman" w:eastAsia="仿宋_GB2312" w:cs="Times New Roman"/>
                <w:color w:val="auto"/>
                <w:sz w:val="22"/>
                <w:szCs w:val="22"/>
                <w:lang w:val="en-US" w:eastAsia="zh-CN"/>
              </w:rPr>
              <w:t>352</w:t>
            </w:r>
            <w:r>
              <w:rPr>
                <w:rFonts w:hint="default" w:ascii="Times New Roman" w:hAnsi="Times New Roman" w:eastAsia="仿宋_GB2312" w:cs="Times New Roman"/>
                <w:color w:val="auto"/>
                <w:sz w:val="22"/>
                <w:szCs w:val="22"/>
                <w:lang w:val="en-US" w:eastAsia="zh-CN"/>
              </w:rPr>
              <w:t>种农药及其代谢物残留量的测定</w:t>
            </w:r>
            <w:r>
              <w:rPr>
                <w:rFonts w:hint="eastAsia" w:ascii="Times New Roman" w:hAnsi="Times New Roman" w:eastAsia="仿宋_GB2312" w:cs="Times New Roman"/>
                <w:color w:val="auto"/>
                <w:sz w:val="22"/>
                <w:szCs w:val="22"/>
                <w:lang w:val="en-US" w:eastAsia="zh-CN"/>
              </w:rPr>
              <w:t xml:space="preserve"> </w:t>
            </w:r>
            <w:r>
              <w:rPr>
                <w:rFonts w:hint="default" w:ascii="Times New Roman" w:hAnsi="Times New Roman" w:eastAsia="仿宋_GB2312" w:cs="Times New Roman"/>
                <w:color w:val="auto"/>
                <w:sz w:val="22"/>
                <w:szCs w:val="22"/>
                <w:lang w:val="en-US" w:eastAsia="zh-CN"/>
              </w:rPr>
              <w:t>液相色谱</w:t>
            </w:r>
            <w:r>
              <w:rPr>
                <w:rFonts w:hint="eastAsia" w:ascii="Times New Roman" w:hAnsi="Times New Roman" w:eastAsia="仿宋_GB2312" w:cs="Times New Roman"/>
                <w:color w:val="auto"/>
                <w:sz w:val="22"/>
                <w:szCs w:val="22"/>
                <w:lang w:val="en-US" w:eastAsia="zh-CN"/>
              </w:rPr>
              <w:t>-</w:t>
            </w:r>
            <w:r>
              <w:rPr>
                <w:rFonts w:hint="default" w:ascii="Times New Roman" w:hAnsi="Times New Roman" w:eastAsia="仿宋_GB2312" w:cs="Times New Roman"/>
                <w:color w:val="auto"/>
                <w:sz w:val="22"/>
                <w:szCs w:val="22"/>
                <w:lang w:val="en-US" w:eastAsia="zh-CN"/>
              </w:rPr>
              <w:t>质谱联用法</w:t>
            </w:r>
            <w:r>
              <w:rPr>
                <w:rFonts w:hint="eastAsia" w:ascii="Times New Roman" w:hAnsi="Times New Roman" w:eastAsia="仿宋_GB2312" w:cs="Times New Roman"/>
                <w:color w:val="auto"/>
                <w:sz w:val="22"/>
                <w:szCs w:val="22"/>
                <w:lang w:val="en-US" w:eastAsia="zh-CN"/>
              </w:rPr>
              <w:t>》；</w:t>
            </w:r>
          </w:p>
          <w:p w14:paraId="5F3EFF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w:t>
            </w:r>
            <w:r>
              <w:rPr>
                <w:rFonts w:hint="eastAsia" w:ascii="Times New Roman" w:hAnsi="Times New Roman" w:eastAsia="仿宋_GB2312" w:cs="Times New Roman"/>
                <w:color w:val="auto"/>
                <w:sz w:val="22"/>
                <w:szCs w:val="22"/>
                <w:lang w:val="en-US" w:eastAsia="zh-CN"/>
              </w:rPr>
              <w:t>21</w:t>
            </w:r>
            <w:r>
              <w:rPr>
                <w:rFonts w:hint="default" w:ascii="Times New Roman" w:hAnsi="Times New Roman" w:eastAsia="仿宋_GB2312" w:cs="Times New Roman"/>
                <w:color w:val="auto"/>
                <w:sz w:val="22"/>
                <w:szCs w:val="22"/>
                <w:lang w:val="en-US" w:eastAsia="zh-CN"/>
              </w:rPr>
              <w:t>种农药及其代谢物</w:t>
            </w:r>
            <w:r>
              <w:rPr>
                <w:rFonts w:hint="eastAsia" w:ascii="Times New Roman" w:hAnsi="Times New Roman" w:eastAsia="仿宋_GB2312" w:cs="Times New Roman"/>
                <w:color w:val="auto"/>
                <w:sz w:val="22"/>
                <w:szCs w:val="22"/>
                <w:lang w:val="en-US" w:eastAsia="zh-CN"/>
              </w:rPr>
              <w:t>；</w:t>
            </w:r>
          </w:p>
          <w:p w14:paraId="1DAA6B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更改了试样制备的规定</w:t>
            </w:r>
            <w:r>
              <w:rPr>
                <w:rFonts w:hint="eastAsia" w:ascii="Times New Roman" w:hAnsi="Times New Roman" w:eastAsia="仿宋_GB2312" w:cs="Times New Roman"/>
                <w:color w:val="auto"/>
                <w:sz w:val="22"/>
                <w:szCs w:val="22"/>
                <w:lang w:val="en-US" w:eastAsia="zh-CN"/>
              </w:rPr>
              <w:t>；</w:t>
            </w:r>
          </w:p>
          <w:p w14:paraId="773D052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更改了噻氟菌胺和喔草酯的中文名称</w:t>
            </w:r>
            <w:r>
              <w:rPr>
                <w:rFonts w:hint="eastAsia" w:ascii="Times New Roman" w:hAnsi="Times New Roman" w:eastAsia="仿宋_GB2312" w:cs="Times New Roman"/>
                <w:color w:val="auto"/>
                <w:sz w:val="22"/>
                <w:szCs w:val="22"/>
                <w:lang w:val="en-US" w:eastAsia="zh-CN"/>
              </w:rPr>
              <w:t>；</w:t>
            </w:r>
          </w:p>
          <w:p w14:paraId="198A5F8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更改了啶虫脒等</w:t>
            </w:r>
            <w:r>
              <w:rPr>
                <w:rFonts w:hint="eastAsia" w:ascii="Times New Roman" w:hAnsi="Times New Roman" w:eastAsia="仿宋_GB2312" w:cs="Times New Roman"/>
                <w:color w:val="auto"/>
                <w:sz w:val="22"/>
                <w:szCs w:val="22"/>
                <w:lang w:val="en-US" w:eastAsia="zh-CN"/>
              </w:rPr>
              <w:t>10</w:t>
            </w:r>
            <w:r>
              <w:rPr>
                <w:rFonts w:hint="default" w:ascii="Times New Roman" w:hAnsi="Times New Roman" w:eastAsia="仿宋_GB2312" w:cs="Times New Roman"/>
                <w:color w:val="auto"/>
                <w:sz w:val="22"/>
                <w:szCs w:val="22"/>
                <w:lang w:val="en-US" w:eastAsia="zh-CN"/>
              </w:rPr>
              <w:t>种农药和代谢物的方法定量限。</w:t>
            </w:r>
          </w:p>
        </w:tc>
      </w:tr>
      <w:tr w14:paraId="720E6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22FFC9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1.113</w:t>
            </w:r>
          </w:p>
        </w:tc>
        <w:tc>
          <w:tcPr>
            <w:tcW w:w="1579" w:type="dxa"/>
            <w:gridSpan w:val="2"/>
            <w:tcBorders>
              <w:left w:val="single" w:color="000000" w:sz="2" w:space="0"/>
              <w:right w:val="single" w:color="000000" w:sz="2" w:space="0"/>
            </w:tcBorders>
            <w:vAlign w:val="center"/>
          </w:tcPr>
          <w:p w14:paraId="3BEB8CC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52EF78B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脂肪、</w:t>
            </w:r>
          </w:p>
          <w:p w14:paraId="6850791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09BAAB2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《食品安全国家标准 食品中脂肪的测定》       GB 5009.6-2016 </w:t>
            </w:r>
          </w:p>
        </w:tc>
        <w:tc>
          <w:tcPr>
            <w:tcW w:w="2171" w:type="dxa"/>
            <w:tcBorders>
              <w:right w:val="single" w:color="000000" w:sz="2" w:space="0"/>
            </w:tcBorders>
            <w:vAlign w:val="center"/>
          </w:tcPr>
          <w:p w14:paraId="723A92C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《食品安全国家标准 食品中脂肪的测定》            GB 5009.6-2025  </w:t>
            </w:r>
          </w:p>
        </w:tc>
        <w:tc>
          <w:tcPr>
            <w:tcW w:w="626" w:type="dxa"/>
            <w:tcBorders>
              <w:left w:val="single" w:color="000000" w:sz="2" w:space="0"/>
            </w:tcBorders>
            <w:vAlign w:val="center"/>
          </w:tcPr>
          <w:p w14:paraId="3A8BC25E">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i w:val="0"/>
                <w:iCs w:val="0"/>
                <w:snapToGrid w:val="0"/>
                <w:color w:val="000000"/>
                <w:kern w:val="0"/>
                <w:sz w:val="21"/>
                <w:szCs w:val="21"/>
                <w:u w:val="none"/>
                <w:lang w:val="en-US" w:eastAsia="zh-CN" w:bidi="ar"/>
              </w:rPr>
              <w:t>只用第一法</w:t>
            </w:r>
          </w:p>
        </w:tc>
        <w:tc>
          <w:tcPr>
            <w:tcW w:w="3046" w:type="dxa"/>
            <w:vAlign w:val="center"/>
          </w:tcPr>
          <w:p w14:paraId="4E99F3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1.</w:t>
            </w:r>
            <w:r>
              <w:rPr>
                <w:rFonts w:hint="default" w:ascii="Times New Roman" w:hAnsi="Times New Roman" w:eastAsia="仿宋_GB2312" w:cs="Times New Roman"/>
                <w:color w:val="auto"/>
                <w:sz w:val="22"/>
                <w:szCs w:val="22"/>
                <w:lang w:val="en-US" w:eastAsia="zh-CN"/>
              </w:rPr>
              <w:t>修改了第一法 索氏抽提法、第二法 酸水解法、第三法 碱水解法和第四法 盖勃法的适用范围</w:t>
            </w:r>
            <w:r>
              <w:rPr>
                <w:rFonts w:hint="eastAsia" w:ascii="Times New Roman" w:hAnsi="Times New Roman" w:eastAsia="仿宋_GB2312" w:cs="Times New Roman"/>
                <w:color w:val="auto"/>
                <w:sz w:val="22"/>
                <w:szCs w:val="22"/>
                <w:lang w:val="en-US" w:eastAsia="zh-CN"/>
              </w:rPr>
              <w:t>；</w:t>
            </w:r>
          </w:p>
          <w:p w14:paraId="2BA5AB5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2.</w:t>
            </w:r>
            <w:r>
              <w:rPr>
                <w:rFonts w:hint="default" w:ascii="Times New Roman" w:hAnsi="Times New Roman" w:eastAsia="仿宋_GB2312" w:cs="Times New Roman"/>
                <w:color w:val="auto"/>
                <w:sz w:val="22"/>
                <w:szCs w:val="22"/>
                <w:lang w:val="en-US" w:eastAsia="zh-CN"/>
              </w:rPr>
              <w:t>增加了第一法 索氏抽提法、第二法 酸水解法、第三法 碱水解法的试样制备方式</w:t>
            </w:r>
            <w:r>
              <w:rPr>
                <w:rFonts w:hint="eastAsia" w:ascii="Times New Roman" w:hAnsi="Times New Roman" w:eastAsia="仿宋_GB2312" w:cs="Times New Roman"/>
                <w:color w:val="auto"/>
                <w:sz w:val="22"/>
                <w:szCs w:val="22"/>
                <w:lang w:val="en-US" w:eastAsia="zh-CN"/>
              </w:rPr>
              <w:t>；</w:t>
            </w:r>
          </w:p>
          <w:p w14:paraId="268E67B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3.</w:t>
            </w:r>
            <w:r>
              <w:rPr>
                <w:rFonts w:hint="default" w:ascii="Times New Roman" w:hAnsi="Times New Roman" w:eastAsia="仿宋_GB2312" w:cs="Times New Roman"/>
                <w:color w:val="auto"/>
                <w:sz w:val="22"/>
                <w:szCs w:val="22"/>
                <w:lang w:val="en-US" w:eastAsia="zh-CN"/>
              </w:rPr>
              <w:t>规定了第一法 索氏抽提法中油料样本的精密度</w:t>
            </w:r>
            <w:r>
              <w:rPr>
                <w:rFonts w:hint="eastAsia" w:ascii="Times New Roman" w:hAnsi="Times New Roman" w:eastAsia="仿宋_GB2312" w:cs="Times New Roman"/>
                <w:color w:val="auto"/>
                <w:sz w:val="22"/>
                <w:szCs w:val="22"/>
                <w:lang w:val="en-US" w:eastAsia="zh-CN"/>
              </w:rPr>
              <w:t>；</w:t>
            </w:r>
          </w:p>
          <w:p w14:paraId="642AF3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2"/>
                <w:szCs w:val="22"/>
                <w:lang w:val="en-US" w:eastAsia="zh-CN"/>
              </w:rPr>
              <w:t>4.</w:t>
            </w:r>
            <w:r>
              <w:rPr>
                <w:rFonts w:hint="default" w:ascii="Times New Roman" w:hAnsi="Times New Roman" w:eastAsia="仿宋_GB2312" w:cs="Times New Roman"/>
                <w:color w:val="auto"/>
                <w:sz w:val="22"/>
                <w:szCs w:val="22"/>
                <w:lang w:val="en-US" w:eastAsia="zh-CN"/>
              </w:rPr>
              <w:t>修改了第二法 酸水解法的提取溶剂</w:t>
            </w:r>
            <w:r>
              <w:rPr>
                <w:rFonts w:hint="eastAsia" w:ascii="Times New Roman" w:hAnsi="Times New Roman" w:eastAsia="仿宋_GB2312" w:cs="Times New Roman"/>
                <w:color w:val="auto"/>
                <w:sz w:val="22"/>
                <w:szCs w:val="22"/>
                <w:lang w:val="en-US" w:eastAsia="zh-CN"/>
              </w:rPr>
              <w:t>；</w:t>
            </w:r>
          </w:p>
          <w:p w14:paraId="2C9415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2"/>
                <w:szCs w:val="22"/>
                <w:lang w:val="en-US" w:eastAsia="zh-CN" w:bidi="ar-SA"/>
              </w:rPr>
            </w:pPr>
            <w:r>
              <w:rPr>
                <w:rFonts w:hint="eastAsia" w:ascii="Times New Roman" w:hAnsi="Times New Roman" w:eastAsia="仿宋_GB2312" w:cs="Times New Roman"/>
                <w:color w:val="auto"/>
                <w:sz w:val="22"/>
                <w:szCs w:val="22"/>
                <w:lang w:val="en-US" w:eastAsia="zh-CN"/>
              </w:rPr>
              <w:t>5.</w:t>
            </w:r>
            <w:r>
              <w:rPr>
                <w:rFonts w:hint="default" w:ascii="Times New Roman" w:hAnsi="Times New Roman" w:eastAsia="仿宋_GB2312" w:cs="Times New Roman"/>
                <w:color w:val="auto"/>
                <w:sz w:val="22"/>
                <w:szCs w:val="22"/>
                <w:lang w:val="en-US" w:eastAsia="zh-CN"/>
              </w:rPr>
              <w:t>增加了第四法 盖勃法中硫酸的体积分数。</w:t>
            </w:r>
          </w:p>
        </w:tc>
      </w:tr>
      <w:tr w14:paraId="6A87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62B9092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3.6</w:t>
            </w:r>
          </w:p>
        </w:tc>
        <w:tc>
          <w:tcPr>
            <w:tcW w:w="1579" w:type="dxa"/>
            <w:gridSpan w:val="2"/>
            <w:tcBorders>
              <w:left w:val="single" w:color="000000" w:sz="2" w:space="0"/>
              <w:right w:val="single" w:color="000000" w:sz="2" w:space="0"/>
            </w:tcBorders>
            <w:vAlign w:val="center"/>
          </w:tcPr>
          <w:p w14:paraId="55C61FC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08F7A3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粗灰分、</w:t>
            </w:r>
          </w:p>
          <w:p w14:paraId="534302B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p>
        </w:tc>
        <w:tc>
          <w:tcPr>
            <w:tcW w:w="2056" w:type="dxa"/>
            <w:tcBorders>
              <w:left w:val="single" w:color="000000" w:sz="2" w:space="0"/>
            </w:tcBorders>
            <w:vAlign w:val="center"/>
          </w:tcPr>
          <w:p w14:paraId="7EA28EC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《饲料中粗灰分的测定》GB/T 6438-2007 </w:t>
            </w:r>
          </w:p>
        </w:tc>
        <w:tc>
          <w:tcPr>
            <w:tcW w:w="2171" w:type="dxa"/>
            <w:tcBorders>
              <w:right w:val="single" w:color="000000" w:sz="2" w:space="0"/>
            </w:tcBorders>
            <w:vAlign w:val="center"/>
          </w:tcPr>
          <w:p w14:paraId="2C556E9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《饲料中粗灰分的测定》GB/T 6438-2025 </w:t>
            </w:r>
          </w:p>
        </w:tc>
        <w:tc>
          <w:tcPr>
            <w:tcW w:w="626" w:type="dxa"/>
            <w:tcBorders>
              <w:left w:val="single" w:color="000000" w:sz="2" w:space="0"/>
            </w:tcBorders>
            <w:vAlign w:val="center"/>
          </w:tcPr>
          <w:p w14:paraId="5457D4A9">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2343BF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1.</w:t>
            </w:r>
            <w:r>
              <w:rPr>
                <w:rFonts w:hint="default" w:ascii="Times New Roman" w:hAnsi="Times New Roman" w:eastAsia="仿宋_GB2312" w:cs="Times New Roman"/>
                <w:color w:val="auto"/>
                <w:sz w:val="21"/>
                <w:szCs w:val="21"/>
                <w:lang w:val="en-US" w:eastAsia="zh-CN"/>
              </w:rPr>
              <w:t>更改了适用范围(见第1章,2007年版的第1章)</w:t>
            </w:r>
            <w:r>
              <w:rPr>
                <w:rFonts w:hint="eastAsia" w:ascii="Times New Roman" w:hAnsi="Times New Roman" w:eastAsia="仿宋_GB2312" w:cs="Times New Roman"/>
                <w:color w:val="auto"/>
                <w:sz w:val="21"/>
                <w:szCs w:val="21"/>
                <w:lang w:val="en-US" w:eastAsia="zh-CN"/>
              </w:rPr>
              <w:t>；</w:t>
            </w:r>
          </w:p>
          <w:p w14:paraId="689286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lang w:val="en-US" w:eastAsia="zh-CN"/>
              </w:rPr>
              <w:t>更改了原理(见第4章,2007年版的第4章)</w:t>
            </w:r>
            <w:r>
              <w:rPr>
                <w:rFonts w:hint="eastAsia" w:ascii="Times New Roman" w:hAnsi="Times New Roman" w:eastAsia="仿宋_GB2312" w:cs="Times New Roman"/>
                <w:color w:val="auto"/>
                <w:sz w:val="21"/>
                <w:szCs w:val="21"/>
                <w:lang w:val="en-US" w:eastAsia="zh-CN"/>
              </w:rPr>
              <w:t>；</w:t>
            </w:r>
          </w:p>
          <w:p w14:paraId="61D8597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3.</w:t>
            </w:r>
            <w:r>
              <w:rPr>
                <w:rFonts w:hint="default" w:ascii="Times New Roman" w:hAnsi="Times New Roman" w:eastAsia="仿宋_GB2312" w:cs="Times New Roman"/>
                <w:color w:val="auto"/>
                <w:sz w:val="21"/>
                <w:szCs w:val="21"/>
                <w:lang w:val="en-US" w:eastAsia="zh-CN"/>
              </w:rPr>
              <w:t>增加了“试剂或材料”(见第5章)</w:t>
            </w:r>
            <w:r>
              <w:rPr>
                <w:rFonts w:hint="eastAsia" w:ascii="Times New Roman" w:hAnsi="Times New Roman" w:eastAsia="仿宋_GB2312" w:cs="Times New Roman"/>
                <w:color w:val="auto"/>
                <w:sz w:val="21"/>
                <w:szCs w:val="21"/>
                <w:lang w:val="en-US" w:eastAsia="zh-CN"/>
              </w:rPr>
              <w:t>；</w:t>
            </w:r>
          </w:p>
          <w:p w14:paraId="4CEF6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4.</w:t>
            </w:r>
            <w:r>
              <w:rPr>
                <w:rFonts w:hint="default" w:ascii="Times New Roman" w:hAnsi="Times New Roman" w:eastAsia="仿宋_GB2312" w:cs="Times New Roman"/>
                <w:color w:val="auto"/>
                <w:sz w:val="21"/>
                <w:szCs w:val="21"/>
                <w:lang w:val="en-US" w:eastAsia="zh-CN"/>
              </w:rPr>
              <w:t>删除了“采样”(见2007年版的第6章)</w:t>
            </w:r>
            <w:r>
              <w:rPr>
                <w:rFonts w:hint="eastAsia" w:ascii="Times New Roman" w:hAnsi="Times New Roman" w:eastAsia="仿宋_GB2312" w:cs="Times New Roman"/>
                <w:color w:val="auto"/>
                <w:sz w:val="21"/>
                <w:szCs w:val="21"/>
                <w:lang w:val="en-US" w:eastAsia="zh-CN"/>
              </w:rPr>
              <w:t>；</w:t>
            </w:r>
          </w:p>
          <w:p w14:paraId="6E33ED7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5.</w:t>
            </w:r>
            <w:r>
              <w:rPr>
                <w:rFonts w:hint="default" w:ascii="Times New Roman" w:hAnsi="Times New Roman" w:eastAsia="仿宋_GB2312" w:cs="Times New Roman"/>
                <w:color w:val="auto"/>
                <w:sz w:val="21"/>
                <w:szCs w:val="21"/>
                <w:lang w:val="en-US" w:eastAsia="zh-CN"/>
              </w:rPr>
              <w:t>更改了箱式电阻炉和灼</w:t>
            </w:r>
            <w:r>
              <w:rPr>
                <w:rFonts w:hint="eastAsia" w:ascii="Times New Roman" w:hAnsi="Times New Roman" w:eastAsia="仿宋_GB2312" w:cs="Times New Roman"/>
                <w:color w:val="auto"/>
                <w:sz w:val="21"/>
                <w:szCs w:val="21"/>
                <w:lang w:val="en-US" w:eastAsia="zh-CN"/>
              </w:rPr>
              <w:t>烧</w:t>
            </w:r>
            <w:r>
              <w:rPr>
                <w:rFonts w:hint="default" w:ascii="Times New Roman" w:hAnsi="Times New Roman" w:eastAsia="仿宋_GB2312" w:cs="Times New Roman"/>
                <w:color w:val="auto"/>
                <w:sz w:val="21"/>
                <w:szCs w:val="21"/>
                <w:lang w:val="en-US" w:eastAsia="zh-CN"/>
              </w:rPr>
              <w:t>皿的技术要求(见6.2、6.5,2007年版的5.2、5.5)</w:t>
            </w:r>
            <w:r>
              <w:rPr>
                <w:rFonts w:hint="eastAsia" w:ascii="Times New Roman" w:hAnsi="Times New Roman" w:eastAsia="仿宋_GB2312" w:cs="Times New Roman"/>
                <w:color w:val="auto"/>
                <w:sz w:val="21"/>
                <w:szCs w:val="21"/>
                <w:lang w:val="en-US" w:eastAsia="zh-CN"/>
              </w:rPr>
              <w:t>；</w:t>
            </w:r>
          </w:p>
          <w:p w14:paraId="6EE9AD5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6.将“试样制备”更改为“样品”(见第7章,2007年版的7.1)；</w:t>
            </w:r>
          </w:p>
          <w:p w14:paraId="5CF503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7.更改了称样质量(见8.1,2007年版的7.2)；</w:t>
            </w:r>
          </w:p>
          <w:p w14:paraId="0A96893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8.将“测定”更改为“炭化和灰化”(见8.2,2007年版的7.3)；</w:t>
            </w:r>
          </w:p>
          <w:p w14:paraId="6FA2B72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9.更改了精密度要求(见第10章,2007年版的9.2)；</w:t>
            </w:r>
          </w:p>
          <w:p w14:paraId="4605004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default" w:ascii="Times New Roman" w:hAnsi="Times New Roman" w:eastAsia="仿宋_GB2312" w:cs="Times New Roman"/>
                <w:color w:val="auto"/>
                <w:sz w:val="22"/>
                <w:szCs w:val="22"/>
                <w:lang w:val="en-US" w:eastAsia="zh-CN"/>
              </w:rPr>
            </w:pPr>
            <w:r>
              <w:rPr>
                <w:rFonts w:hint="eastAsia" w:ascii="Times New Roman" w:hAnsi="Times New Roman" w:eastAsia="仿宋_GB2312" w:cs="Times New Roman"/>
                <w:color w:val="auto"/>
                <w:sz w:val="21"/>
                <w:szCs w:val="21"/>
                <w:lang w:val="en-US" w:eastAsia="zh-CN"/>
              </w:rPr>
              <w:t>10.删除了“实验室间试验”“再现性”“试验报告”(见2007年版的9.1、9.3、第10章)。</w:t>
            </w:r>
          </w:p>
        </w:tc>
      </w:tr>
      <w:tr w14:paraId="1A35A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3" w:hRule="atLeast"/>
        </w:trPr>
        <w:tc>
          <w:tcPr>
            <w:tcW w:w="561" w:type="dxa"/>
            <w:tcBorders>
              <w:right w:val="single" w:color="000000" w:sz="2" w:space="0"/>
            </w:tcBorders>
            <w:vAlign w:val="center"/>
          </w:tcPr>
          <w:p w14:paraId="6EAD240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1.5</w:t>
            </w:r>
          </w:p>
        </w:tc>
        <w:tc>
          <w:tcPr>
            <w:tcW w:w="1579" w:type="dxa"/>
            <w:gridSpan w:val="2"/>
            <w:tcBorders>
              <w:left w:val="single" w:color="000000" w:sz="2" w:space="0"/>
              <w:right w:val="single" w:color="000000" w:sz="2" w:space="0"/>
            </w:tcBorders>
            <w:vAlign w:val="center"/>
          </w:tcPr>
          <w:p w14:paraId="25397CC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570FB71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气味、</w:t>
            </w:r>
          </w:p>
          <w:p w14:paraId="329BED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690A90A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植物油脂 透明度、气味、滋味鉴定法</w:t>
            </w: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 xml:space="preserve">GB/T 5525-2008 </w:t>
            </w:r>
          </w:p>
          <w:p w14:paraId="2DBD8B4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p>
        </w:tc>
        <w:tc>
          <w:tcPr>
            <w:tcW w:w="2171" w:type="dxa"/>
            <w:tcBorders>
              <w:right w:val="single" w:color="000000" w:sz="2" w:space="0"/>
            </w:tcBorders>
            <w:vAlign w:val="center"/>
          </w:tcPr>
          <w:p w14:paraId="0F49612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植物油脂 透明度、气味、滋味鉴定法</w:t>
            </w: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 xml:space="preserve">GB/T 5525-2025 </w:t>
            </w:r>
          </w:p>
          <w:p w14:paraId="05FE035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p>
        </w:tc>
        <w:tc>
          <w:tcPr>
            <w:tcW w:w="626" w:type="dxa"/>
            <w:tcBorders>
              <w:left w:val="single" w:color="000000" w:sz="2" w:space="0"/>
            </w:tcBorders>
            <w:vAlign w:val="center"/>
          </w:tcPr>
          <w:p w14:paraId="56D481A2">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492F60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a)增加了“气味”“滋味”的术语和定义(见 3.2、3.3);</w:t>
            </w:r>
          </w:p>
          <w:p w14:paraId="3F666CC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b)增加了温度计(见 5.1.2);</w:t>
            </w:r>
          </w:p>
          <w:p w14:paraId="799737F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c)更改了“结果表示”(见5.3,2008年版的5.3);</w:t>
            </w:r>
          </w:p>
          <w:p w14:paraId="656F61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d)更改了品评的基本要求(见6.2,2008年版的6.2和6.3);</w:t>
            </w:r>
          </w:p>
          <w:p w14:paraId="261FAC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e)删除了酒精灯(见 2008年版的6.1.4);</w:t>
            </w:r>
          </w:p>
          <w:p w14:paraId="35ACEA1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f)更改了测定气味、滋味的样品取样量(见6.3,2008年版的6.4):</w:t>
            </w:r>
          </w:p>
          <w:p w14:paraId="52F95F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g) 增加了油脂样品在常温下为固态或半固态时测定气味、滋味的操作方法(见6.3.2);</w:t>
            </w:r>
          </w:p>
          <w:p w14:paraId="34F2E42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h)更改了“气味表示”(见6.4.1,2008 年版的 6.5.1);</w:t>
            </w:r>
          </w:p>
          <w:p w14:paraId="04A2540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i)更改了“滋味表示”(见6.4.2,2008年版的 6.5.2);</w:t>
            </w:r>
          </w:p>
          <w:p w14:paraId="00F6070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default"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j)更改了品评人员的选择(见附录A,2008年版的6.2.1)。</w:t>
            </w:r>
          </w:p>
        </w:tc>
      </w:tr>
      <w:tr w14:paraId="24A08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24C7B7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1.7</w:t>
            </w:r>
          </w:p>
        </w:tc>
        <w:tc>
          <w:tcPr>
            <w:tcW w:w="1579" w:type="dxa"/>
            <w:gridSpan w:val="2"/>
            <w:tcBorders>
              <w:left w:val="single" w:color="000000" w:sz="2" w:space="0"/>
              <w:right w:val="single" w:color="000000" w:sz="2" w:space="0"/>
            </w:tcBorders>
            <w:vAlign w:val="center"/>
          </w:tcPr>
          <w:p w14:paraId="6F2F4A4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454CCF3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滋味、</w:t>
            </w:r>
          </w:p>
          <w:p w14:paraId="57BE08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237C131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植物油脂 透明度、气味、滋味鉴定法</w:t>
            </w: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 xml:space="preserve">GB/T 5525-2008 </w:t>
            </w:r>
          </w:p>
          <w:p w14:paraId="2B886E7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p>
        </w:tc>
        <w:tc>
          <w:tcPr>
            <w:tcW w:w="2171" w:type="dxa"/>
            <w:tcBorders>
              <w:right w:val="single" w:color="000000" w:sz="2" w:space="0"/>
            </w:tcBorders>
            <w:vAlign w:val="center"/>
          </w:tcPr>
          <w:p w14:paraId="415FDCD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植物油脂 透明度、气味、滋味鉴定法</w:t>
            </w: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 xml:space="preserve">GB/T 5525-2025 </w:t>
            </w:r>
          </w:p>
          <w:p w14:paraId="4BE7D0A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p>
        </w:tc>
        <w:tc>
          <w:tcPr>
            <w:tcW w:w="626" w:type="dxa"/>
            <w:tcBorders>
              <w:left w:val="single" w:color="000000" w:sz="2" w:space="0"/>
            </w:tcBorders>
            <w:vAlign w:val="center"/>
          </w:tcPr>
          <w:p w14:paraId="1FC358A7">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60A1208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a)增加了“气味”“滋味”的术语和定义(见 3.2、3.3);</w:t>
            </w:r>
          </w:p>
          <w:p w14:paraId="191C4F2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b)增加了温度计(见 5.1.2);</w:t>
            </w:r>
          </w:p>
          <w:p w14:paraId="2930DD0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c)更改了“结果表示”(见5.3,2008年版的5.3);</w:t>
            </w:r>
          </w:p>
          <w:p w14:paraId="3E91C6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d)更改了品评的基本要求(见6.2,2008年版的6.2和6.3);</w:t>
            </w:r>
          </w:p>
          <w:p w14:paraId="52540F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e)删除了酒精灯(见 2008年版的6.1.4);</w:t>
            </w:r>
          </w:p>
          <w:p w14:paraId="23C2875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f)更改了测定气味、滋味的样品取样量(见6.3,2008年版的6.4):</w:t>
            </w:r>
          </w:p>
          <w:p w14:paraId="4497C0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g) 增加了油脂样品在常温下为固态或半固态时测定气味、滋味的操作方法(见6.3.2);</w:t>
            </w:r>
          </w:p>
          <w:p w14:paraId="2499C67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h)更改了“气味表示”(见6.4.1,2008 年版的 6.5.1);</w:t>
            </w:r>
          </w:p>
          <w:p w14:paraId="1DAD51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i)更改了“滋味表示”(见6.4.2,2008年版的 6.5.2);</w:t>
            </w:r>
          </w:p>
          <w:p w14:paraId="2938C85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color w:val="auto"/>
                <w:sz w:val="21"/>
                <w:szCs w:val="21"/>
                <w:lang w:val="en-US" w:eastAsia="zh-CN"/>
              </w:rPr>
              <w:t>j)更改了品评人员的选择(见附录A,2008年版的6.2.1)。</w:t>
            </w:r>
          </w:p>
        </w:tc>
      </w:tr>
      <w:tr w14:paraId="588B7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33F0109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1.122</w:t>
            </w:r>
          </w:p>
        </w:tc>
        <w:tc>
          <w:tcPr>
            <w:tcW w:w="1579" w:type="dxa"/>
            <w:gridSpan w:val="2"/>
            <w:tcBorders>
              <w:left w:val="single" w:color="000000" w:sz="2" w:space="0"/>
              <w:right w:val="single" w:color="000000" w:sz="2" w:space="0"/>
            </w:tcBorders>
            <w:vAlign w:val="center"/>
          </w:tcPr>
          <w:p w14:paraId="6248601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1884E13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透明度、</w:t>
            </w:r>
          </w:p>
          <w:p w14:paraId="109A0F4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5B325CEB">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植物油脂 透明度、气味、滋味鉴定法</w:t>
            </w: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 xml:space="preserve">GB/T 5525-2008 </w:t>
            </w:r>
          </w:p>
          <w:p w14:paraId="6F25AA0F">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p>
        </w:tc>
        <w:tc>
          <w:tcPr>
            <w:tcW w:w="2171" w:type="dxa"/>
            <w:tcBorders>
              <w:right w:val="single" w:color="000000" w:sz="2" w:space="0"/>
            </w:tcBorders>
            <w:vAlign w:val="center"/>
          </w:tcPr>
          <w:p w14:paraId="032C63F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植物油脂 透明度、气味、滋味鉴定法</w:t>
            </w:r>
            <w:r>
              <w:rPr>
                <w:rFonts w:hint="eastAsia" w:ascii="Times New Roman" w:hAnsi="Times New Roman" w:eastAsia="仿宋_GB2312" w:cs="Times New Roman"/>
                <w:snapToGrid w:val="0"/>
                <w:color w:val="000000"/>
                <w:kern w:val="0"/>
                <w:sz w:val="22"/>
                <w:szCs w:val="22"/>
                <w:lang w:val="en-US" w:eastAsia="zh-CN" w:bidi="ar-SA"/>
              </w:rPr>
              <w:t>》</w:t>
            </w:r>
            <w:r>
              <w:rPr>
                <w:rFonts w:hint="default" w:ascii="Times New Roman" w:hAnsi="Times New Roman" w:eastAsia="仿宋_GB2312" w:cs="Times New Roman"/>
                <w:snapToGrid w:val="0"/>
                <w:color w:val="000000"/>
                <w:kern w:val="0"/>
                <w:sz w:val="22"/>
                <w:szCs w:val="22"/>
                <w:lang w:val="en-US" w:eastAsia="zh-CN" w:bidi="ar-SA"/>
              </w:rPr>
              <w:t xml:space="preserve">GB/T 5525-2025 </w:t>
            </w:r>
          </w:p>
          <w:p w14:paraId="30423AC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p>
        </w:tc>
        <w:tc>
          <w:tcPr>
            <w:tcW w:w="626" w:type="dxa"/>
            <w:tcBorders>
              <w:left w:val="single" w:color="000000" w:sz="2" w:space="0"/>
            </w:tcBorders>
            <w:vAlign w:val="center"/>
          </w:tcPr>
          <w:p w14:paraId="0B1778C8">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0E6AC8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a)增加了“气味”“滋味”的术语和定义(见 3.2、3.3);</w:t>
            </w:r>
          </w:p>
          <w:p w14:paraId="577D00A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b)增加了温度计(见 5.1.2);</w:t>
            </w:r>
          </w:p>
          <w:p w14:paraId="395F74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c)更改了“结果表示”(见5.3,2008年版的5.3);</w:t>
            </w:r>
          </w:p>
          <w:p w14:paraId="6F3951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d)更改了品评的基本要求(见6.2,2008年版的6.2和6.3);</w:t>
            </w:r>
          </w:p>
          <w:p w14:paraId="3CEA93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e)删除了酒精灯(见 2008年版的6.1.4);</w:t>
            </w:r>
          </w:p>
          <w:p w14:paraId="5A90B7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f)更改了测定气味、滋味的样品取样量(见6.3,2008年版的6.4):</w:t>
            </w:r>
          </w:p>
          <w:p w14:paraId="2CEFC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g) 增加了油脂样品在常温下为固态或半固态时测定气味、滋味的操作方法(见6.3.2);</w:t>
            </w:r>
          </w:p>
          <w:p w14:paraId="25244F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h)更改了“气味表示”(见6.4.1,2008 年版的 6.5.1);</w:t>
            </w:r>
          </w:p>
          <w:p w14:paraId="36C9C15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i)更改了“滋味表示”(见6.4.2,2008年版的 6.5.2);</w:t>
            </w:r>
          </w:p>
          <w:p w14:paraId="4F1FBB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color w:val="auto"/>
                <w:sz w:val="21"/>
                <w:szCs w:val="21"/>
                <w:lang w:val="en-US" w:eastAsia="zh-CN"/>
              </w:rPr>
              <w:t>j)更改了品评人员的选择(见附录A,2008年版的6.2.1)。</w:t>
            </w:r>
          </w:p>
        </w:tc>
      </w:tr>
      <w:tr w14:paraId="60014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B384C4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1.126</w:t>
            </w:r>
          </w:p>
        </w:tc>
        <w:tc>
          <w:tcPr>
            <w:tcW w:w="1579" w:type="dxa"/>
            <w:gridSpan w:val="2"/>
            <w:tcBorders>
              <w:left w:val="single" w:color="000000" w:sz="2" w:space="0"/>
              <w:right w:val="single" w:color="000000" w:sz="2" w:space="0"/>
            </w:tcBorders>
            <w:vAlign w:val="center"/>
          </w:tcPr>
          <w:p w14:paraId="40DF175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35EEBF9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烟点、</w:t>
            </w:r>
          </w:p>
          <w:p w14:paraId="1AE9473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1305F1C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《植物油脂烟点测定》GB/T 20795-2006 </w:t>
            </w:r>
          </w:p>
        </w:tc>
        <w:tc>
          <w:tcPr>
            <w:tcW w:w="2171" w:type="dxa"/>
            <w:tcBorders>
              <w:right w:val="single" w:color="000000" w:sz="2" w:space="0"/>
            </w:tcBorders>
            <w:vAlign w:val="center"/>
          </w:tcPr>
          <w:p w14:paraId="27F809F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《植物油脂烟点测定》GB/T 20795-2025 </w:t>
            </w:r>
          </w:p>
        </w:tc>
        <w:tc>
          <w:tcPr>
            <w:tcW w:w="626" w:type="dxa"/>
            <w:tcBorders>
              <w:left w:val="single" w:color="000000" w:sz="2" w:space="0"/>
            </w:tcBorders>
            <w:vAlign w:val="center"/>
          </w:tcPr>
          <w:p w14:paraId="084FB231">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i w:val="0"/>
                <w:iCs w:val="0"/>
                <w:snapToGrid w:val="0"/>
                <w:color w:val="000000"/>
                <w:kern w:val="0"/>
                <w:sz w:val="21"/>
                <w:szCs w:val="21"/>
                <w:u w:val="none"/>
                <w:lang w:val="en-US" w:eastAsia="zh-CN" w:bidi="ar"/>
              </w:rPr>
              <w:t>只用第一法</w:t>
            </w:r>
          </w:p>
        </w:tc>
        <w:tc>
          <w:tcPr>
            <w:tcW w:w="3046" w:type="dxa"/>
            <w:vAlign w:val="center"/>
          </w:tcPr>
          <w:p w14:paraId="3D66E7D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1、增加了烟点试验箱光源要求(见 4.2.2);</w:t>
            </w:r>
          </w:p>
          <w:p w14:paraId="7C7D985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2、增加了带手柄样品杯外形示意图(见图4);</w:t>
            </w:r>
          </w:p>
          <w:p w14:paraId="1EA895B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3、增加了秒表要求(见4.2.8):</w:t>
            </w:r>
          </w:p>
          <w:p w14:paraId="5E9C3F6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4、更改了温度计水银球位置要求和油脂迅速加热到达的温度值(见 4.3.2,2006年版的5.3.3、5.3.4);</w:t>
            </w:r>
          </w:p>
          <w:p w14:paraId="164D19F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5、增加了目视法样品杯清洗要求(见 4.3.3);</w:t>
            </w:r>
          </w:p>
          <w:p w14:paraId="0FE139F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6、更改了结果表示要求(见4.4,2006年版的5.4);</w:t>
            </w:r>
          </w:p>
          <w:p w14:paraId="1EBA84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7、增加了精密度要求(见 4.5):</w:t>
            </w:r>
          </w:p>
          <w:p w14:paraId="34DC28E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8、删除了酒精灯、煤气灯等加热装置(见 2006 年版的 5.2.6);</w:t>
            </w:r>
          </w:p>
          <w:p w14:paraId="4154B7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0"/>
                <w:szCs w:val="20"/>
                <w:lang w:val="en-US" w:eastAsia="zh-CN"/>
              </w:rPr>
              <w:t>9、删除了植物油脂烟点测定仪(见2006年版的附录A)</w:t>
            </w:r>
          </w:p>
        </w:tc>
      </w:tr>
      <w:tr w14:paraId="75A8C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1F04A27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1.133</w:t>
            </w:r>
          </w:p>
        </w:tc>
        <w:tc>
          <w:tcPr>
            <w:tcW w:w="1579" w:type="dxa"/>
            <w:gridSpan w:val="2"/>
            <w:tcBorders>
              <w:left w:val="single" w:color="000000" w:sz="2" w:space="0"/>
              <w:right w:val="single" w:color="000000" w:sz="2" w:space="0"/>
            </w:tcBorders>
            <w:vAlign w:val="center"/>
          </w:tcPr>
          <w:p w14:paraId="78ADE95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73D5C4C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熔点、</w:t>
            </w:r>
          </w:p>
          <w:p w14:paraId="31E9742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0A3FA18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植物油脂检验 熔点测定法》                     GB/T 5536-1985 </w:t>
            </w:r>
          </w:p>
        </w:tc>
        <w:tc>
          <w:tcPr>
            <w:tcW w:w="2171" w:type="dxa"/>
            <w:tcBorders>
              <w:right w:val="single" w:color="000000" w:sz="2" w:space="0"/>
            </w:tcBorders>
            <w:vAlign w:val="center"/>
          </w:tcPr>
          <w:p w14:paraId="4080F5D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《植物油脂检验 熔点测定法》                     GB/T 5536-2025 </w:t>
            </w:r>
          </w:p>
        </w:tc>
        <w:tc>
          <w:tcPr>
            <w:tcW w:w="626" w:type="dxa"/>
            <w:tcBorders>
              <w:left w:val="single" w:color="000000" w:sz="2" w:space="0"/>
            </w:tcBorders>
            <w:vAlign w:val="center"/>
          </w:tcPr>
          <w:p w14:paraId="6DD60A59">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9D7931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1、增加了“范围”见第1章);</w:t>
            </w:r>
          </w:p>
          <w:p w14:paraId="249D403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2、增加了熔点的定义(见 3.1);</w:t>
            </w:r>
          </w:p>
          <w:p w14:paraId="4D1C65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3、增加了“原理”(见第4章);</w:t>
            </w:r>
          </w:p>
          <w:p w14:paraId="0126C28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4、更改了玻璃毛细管(见 5.1,1985 年版的 1.1);</w:t>
            </w:r>
          </w:p>
          <w:p w14:paraId="645588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5、增加了“测量尺”(见 5.2);</w:t>
            </w:r>
          </w:p>
          <w:p w14:paraId="25C8E90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6、更改了冰箱的温度要求(见5.4,1985 年版的 1.3);</w:t>
            </w:r>
          </w:p>
          <w:p w14:paraId="78DB37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7、更改了水银温度计(见 5.5,1985 年版的 1.2);</w:t>
            </w:r>
          </w:p>
          <w:p w14:paraId="301257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8、更改了恒温水浴锅(见 5.7,1985 年版的 1.3);</w:t>
            </w:r>
          </w:p>
          <w:p w14:paraId="638C4F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9、增加了“取样”见第6章);</w:t>
            </w:r>
          </w:p>
          <w:p w14:paraId="0BA7F5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0"/>
                <w:szCs w:val="20"/>
                <w:lang w:val="en-US" w:eastAsia="zh-CN"/>
              </w:rPr>
            </w:pPr>
            <w:r>
              <w:rPr>
                <w:rFonts w:hint="eastAsia" w:ascii="Times New Roman" w:hAnsi="Times New Roman" w:eastAsia="仿宋_GB2312" w:cs="Times New Roman"/>
                <w:color w:val="auto"/>
                <w:sz w:val="20"/>
                <w:szCs w:val="20"/>
                <w:lang w:val="en-US" w:eastAsia="zh-CN"/>
              </w:rPr>
              <w:t>10、增加了“试样制备”见第7章);</w:t>
            </w:r>
          </w:p>
          <w:p w14:paraId="08726A8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0"/>
                <w:szCs w:val="20"/>
                <w:lang w:val="en-US" w:eastAsia="zh-CN"/>
              </w:rPr>
              <w:t>11、更改了玻璃毛细管试样制备和测定的方法(见第8章,1985年版的第2章)。</w:t>
            </w:r>
          </w:p>
        </w:tc>
      </w:tr>
      <w:tr w14:paraId="2E25A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7684BCC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1.39</w:t>
            </w:r>
          </w:p>
        </w:tc>
        <w:tc>
          <w:tcPr>
            <w:tcW w:w="1579" w:type="dxa"/>
            <w:gridSpan w:val="2"/>
            <w:tcBorders>
              <w:left w:val="single" w:color="000000" w:sz="2" w:space="0"/>
              <w:right w:val="single" w:color="000000" w:sz="2" w:space="0"/>
            </w:tcBorders>
            <w:vAlign w:val="center"/>
          </w:tcPr>
          <w:p w14:paraId="2F94A7C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7D97053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整精米率、</w:t>
            </w:r>
          </w:p>
          <w:p w14:paraId="115BEEC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328A2DE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《稻谷整精米率检验法》 GB/T 21719-2008 </w:t>
            </w:r>
          </w:p>
        </w:tc>
        <w:tc>
          <w:tcPr>
            <w:tcW w:w="2171" w:type="dxa"/>
            <w:tcBorders>
              <w:right w:val="single" w:color="000000" w:sz="2" w:space="0"/>
            </w:tcBorders>
            <w:vAlign w:val="center"/>
          </w:tcPr>
          <w:p w14:paraId="012C6B7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稻谷整精米率检验》 GB/T 21719-2025 </w:t>
            </w:r>
          </w:p>
        </w:tc>
        <w:tc>
          <w:tcPr>
            <w:tcW w:w="626" w:type="dxa"/>
            <w:tcBorders>
              <w:left w:val="single" w:color="000000" w:sz="2" w:space="0"/>
            </w:tcBorders>
            <w:vAlign w:val="center"/>
          </w:tcPr>
          <w:p w14:paraId="22EA9F24">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7F8CB8FD">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更改了范围(见第1章,2008年版的第1章);</w:t>
            </w:r>
          </w:p>
          <w:p w14:paraId="084A8EAD">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更改了术语“整精米”(见 3.1,2008 年版的 3.2),删除了术语“净稻谷”“整精米率”“整糙米”“碎米”“碎米率”(见 2008 年版的 3.1、3.3、3.4、3.5、3.6);</w:t>
            </w:r>
          </w:p>
          <w:p w14:paraId="2C498FA9">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更改了原理(见第4章,2008年版的第4章)；</w:t>
            </w:r>
          </w:p>
          <w:p w14:paraId="7A6651C7">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增加了碎米分离设备和粮食外观分析仪(见5.6、5.7);</w:t>
            </w:r>
          </w:p>
          <w:p w14:paraId="4D0D01FB">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更改了样品水分含量范围(见6.3,2008年版的7.3)；</w:t>
            </w:r>
          </w:p>
          <w:p w14:paraId="7D56B8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更改了实验碾米机调整要求(见7.1.3.2008年版的8.3)；</w:t>
            </w:r>
          </w:p>
          <w:p w14:paraId="41E146EC">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更改了整精米率测定步骤(见 7.3,2008 年版的 8.5)；</w:t>
            </w:r>
          </w:p>
          <w:p w14:paraId="68BCC5F6">
            <w:pPr>
              <w:keepNext w:val="0"/>
              <w:keepLines w:val="0"/>
              <w:pageBreakBefore w:val="0"/>
              <w:widowControl/>
              <w:numPr>
                <w:ilvl w:val="0"/>
                <w:numId w:val="1"/>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增加了结果保留位数的要求(见第8章)。</w:t>
            </w:r>
          </w:p>
        </w:tc>
      </w:tr>
      <w:tr w14:paraId="5AC92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8" w:hRule="atLeast"/>
        </w:trPr>
        <w:tc>
          <w:tcPr>
            <w:tcW w:w="561" w:type="dxa"/>
            <w:tcBorders>
              <w:right w:val="single" w:color="000000" w:sz="2" w:space="0"/>
            </w:tcBorders>
            <w:vAlign w:val="center"/>
          </w:tcPr>
          <w:p w14:paraId="0898C8A5">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1.42</w:t>
            </w:r>
          </w:p>
        </w:tc>
        <w:tc>
          <w:tcPr>
            <w:tcW w:w="1579" w:type="dxa"/>
            <w:gridSpan w:val="2"/>
            <w:tcBorders>
              <w:left w:val="single" w:color="000000" w:sz="2" w:space="0"/>
              <w:right w:val="single" w:color="000000" w:sz="2" w:space="0"/>
            </w:tcBorders>
            <w:vAlign w:val="center"/>
          </w:tcPr>
          <w:p w14:paraId="20606BE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7D97729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碎米率、</w:t>
            </w:r>
          </w:p>
          <w:p w14:paraId="250E59F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56C42C6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碎米检验法》       GB/T 5503-2009 </w:t>
            </w:r>
          </w:p>
        </w:tc>
        <w:tc>
          <w:tcPr>
            <w:tcW w:w="2171" w:type="dxa"/>
            <w:tcBorders>
              <w:right w:val="single" w:color="000000" w:sz="2" w:space="0"/>
            </w:tcBorders>
            <w:vAlign w:val="center"/>
          </w:tcPr>
          <w:p w14:paraId="2299EFB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碎米检验法》       GB/T 5503-2025 </w:t>
            </w:r>
          </w:p>
        </w:tc>
        <w:tc>
          <w:tcPr>
            <w:tcW w:w="626" w:type="dxa"/>
            <w:tcBorders>
              <w:left w:val="single" w:color="000000" w:sz="2" w:space="0"/>
            </w:tcBorders>
            <w:vAlign w:val="center"/>
          </w:tcPr>
          <w:p w14:paraId="6AAEDC9E">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eastAsia"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3A0E6345">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更改了适用范围(见第1章,2009年版的第1章);</w:t>
            </w:r>
          </w:p>
          <w:p w14:paraId="34FF300B">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删除了术语和定义“高粱米碎米”(见 2009 年版的 3.1);</w:t>
            </w:r>
          </w:p>
          <w:p w14:paraId="356E98B2">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将感官检验法与仪器检验法分成两部分(见第4章、第5章,2009 年版的 7.1.1、7.1.2、7.2和7.1.3):</w:t>
            </w:r>
          </w:p>
          <w:p w14:paraId="5B702817">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更改了谷物选筛的技术要求(见4.2.3,2009年版的5.3);</w:t>
            </w:r>
          </w:p>
          <w:p w14:paraId="4F9F2485">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将分样板更改为分样器(见4.2.4,2009 年版的5.4);</w:t>
            </w:r>
          </w:p>
          <w:p w14:paraId="5B760BA5">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更改了人工筛选的转速要求(见 4.4.1、4.4.2,2009 年版的 7.1.1、7.2);</w:t>
            </w:r>
          </w:p>
          <w:p w14:paraId="2B43C09F">
            <w:pPr>
              <w:keepNext w:val="0"/>
              <w:keepLines w:val="0"/>
              <w:pageBreakBefore w:val="0"/>
              <w:widowControl/>
              <w:numPr>
                <w:ilvl w:val="0"/>
                <w:numId w:val="2"/>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增加了仪器检验法的精密度要求(见 5.4)。</w:t>
            </w:r>
          </w:p>
        </w:tc>
      </w:tr>
      <w:tr w14:paraId="7A2DD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034E8FDC">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1.41</w:t>
            </w:r>
          </w:p>
        </w:tc>
        <w:tc>
          <w:tcPr>
            <w:tcW w:w="1579" w:type="dxa"/>
            <w:gridSpan w:val="2"/>
            <w:tcBorders>
              <w:left w:val="single" w:color="000000" w:sz="2" w:space="0"/>
              <w:right w:val="single" w:color="000000" w:sz="2" w:space="0"/>
            </w:tcBorders>
            <w:vAlign w:val="center"/>
          </w:tcPr>
          <w:p w14:paraId="6F53A84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606431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加工精度、</w:t>
            </w:r>
          </w:p>
          <w:p w14:paraId="74BF3C0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7C76A381">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《粮油检验 大米加工精度检验》GB/T 5502-2018</w:t>
            </w:r>
          </w:p>
        </w:tc>
        <w:tc>
          <w:tcPr>
            <w:tcW w:w="2171" w:type="dxa"/>
            <w:tcBorders>
              <w:right w:val="single" w:color="000000" w:sz="2" w:space="0"/>
            </w:tcBorders>
            <w:vAlign w:val="center"/>
          </w:tcPr>
          <w:p w14:paraId="20C2BD8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themeColor="text1"/>
                <w:kern w:val="0"/>
                <w:sz w:val="22"/>
                <w:szCs w:val="22"/>
                <w:highlight w:val="none"/>
                <w:lang w:val="en-US" w:eastAsia="en-US" w:bidi="ar-SA"/>
                <w14:textFill>
                  <w14:solidFill>
                    <w14:schemeClr w14:val="tx1"/>
                  </w14:solidFill>
                </w14:textFill>
              </w:rPr>
            </w:pPr>
            <w:r>
              <w:rPr>
                <w:rFonts w:hint="default" w:ascii="Times New Roman" w:hAnsi="Times New Roman" w:eastAsia="仿宋_GB2312" w:cs="Times New Roman"/>
                <w:snapToGrid w:val="0"/>
                <w:color w:val="000000" w:themeColor="text1"/>
                <w:kern w:val="0"/>
                <w:sz w:val="22"/>
                <w:szCs w:val="22"/>
                <w:highlight w:val="none"/>
                <w:lang w:val="en-US" w:eastAsia="en-US" w:bidi="ar-SA"/>
                <w14:textFill>
                  <w14:solidFill>
                    <w14:schemeClr w14:val="tx1"/>
                  </w14:solidFill>
                </w14:textFill>
              </w:rPr>
              <w:t>《粮油检验 米类加工精度检验》GB/T 5502-2025</w:t>
            </w:r>
          </w:p>
        </w:tc>
        <w:tc>
          <w:tcPr>
            <w:tcW w:w="626" w:type="dxa"/>
            <w:tcBorders>
              <w:left w:val="single" w:color="000000" w:sz="2" w:space="0"/>
            </w:tcBorders>
            <w:vAlign w:val="center"/>
          </w:tcPr>
          <w:p w14:paraId="10C3CBC2">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i w:val="0"/>
                <w:iCs w:val="0"/>
                <w:snapToGrid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仿宋_GB2312" w:cs="Times New Roman"/>
                <w:i w:val="0"/>
                <w:iCs w:val="0"/>
                <w:snapToGrid w:val="0"/>
                <w:color w:val="000000" w:themeColor="text1"/>
                <w:kern w:val="0"/>
                <w:sz w:val="21"/>
                <w:szCs w:val="21"/>
                <w:highlight w:val="none"/>
                <w:u w:val="none"/>
                <w:lang w:val="en-US" w:eastAsia="zh-CN" w:bidi="ar"/>
                <w14:textFill>
                  <w14:solidFill>
                    <w14:schemeClr w14:val="tx1"/>
                  </w14:solidFill>
                </w14:textFill>
              </w:rPr>
              <w:t>只用8.1</w:t>
            </w:r>
          </w:p>
        </w:tc>
        <w:tc>
          <w:tcPr>
            <w:tcW w:w="3046" w:type="dxa"/>
            <w:vAlign w:val="center"/>
          </w:tcPr>
          <w:p w14:paraId="0E457CD2">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更改了适用范围(见第1章,2018年版的第1章);</w:t>
            </w:r>
          </w:p>
          <w:p w14:paraId="1F65E22A">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增加了乳白粒和小米加工精度的术语和定义(见 3.3、3.4);</w:t>
            </w:r>
          </w:p>
          <w:p w14:paraId="74ED2472">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增加了直接观测法的原理描述(见4.4);</w:t>
            </w:r>
          </w:p>
          <w:p w14:paraId="6B5A8EB1">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更改了试剂和材料(见第5章,2018年版的第5章);</w:t>
            </w:r>
          </w:p>
          <w:p w14:paraId="5D82E37D">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增加了染色原液和染色剂的有效期(见5.5、5.6);</w:t>
            </w:r>
          </w:p>
          <w:p w14:paraId="57CE4D71">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更改了仪器和用具(见第6章,2018年版的第6章);</w:t>
            </w:r>
          </w:p>
          <w:p w14:paraId="74A6799F">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更改了伊红 Y-亚甲基蓝染色方法(见 8.1.1,2018 年版的 8.1);</w:t>
            </w:r>
          </w:p>
          <w:p w14:paraId="5B01DC43">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删除了仪器辅助检测法及其结果判定(见2018年版的8.2.2、9.1.2);</w:t>
            </w:r>
          </w:p>
          <w:p w14:paraId="4827FDCF">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增加了高粱米和小米加工精度检验方法(见8.2、8.3);</w:t>
            </w:r>
          </w:p>
          <w:p w14:paraId="0B0B430F">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更改了大米加工精度的结果表示(见 9.1.3,2018 年版的 9.2);</w:t>
            </w:r>
          </w:p>
          <w:p w14:paraId="0359C789">
            <w:pPr>
              <w:keepNext w:val="0"/>
              <w:keepLines w:val="0"/>
              <w:pageBreakBefore w:val="0"/>
              <w:widowControl/>
              <w:numPr>
                <w:ilvl w:val="0"/>
                <w:numId w:val="3"/>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color w:val="auto"/>
                <w:sz w:val="21"/>
                <w:szCs w:val="21"/>
                <w:lang w:val="en-US" w:eastAsia="zh-CN"/>
              </w:rPr>
            </w:pPr>
            <w:r>
              <w:rPr>
                <w:rFonts w:hint="eastAsia" w:ascii="Times New Roman" w:hAnsi="Times New Roman" w:eastAsia="仿宋_GB2312" w:cs="Times New Roman"/>
                <w:color w:val="auto"/>
                <w:sz w:val="21"/>
                <w:szCs w:val="21"/>
                <w:lang w:val="en-US" w:eastAsia="zh-CN"/>
              </w:rPr>
              <w:t>增加了高粱米和小米加工精度结果计算和表述(见9.2、9.3)。</w:t>
            </w:r>
          </w:p>
        </w:tc>
      </w:tr>
      <w:tr w14:paraId="538FA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28013E7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1.41</w:t>
            </w:r>
          </w:p>
        </w:tc>
        <w:tc>
          <w:tcPr>
            <w:tcW w:w="1579" w:type="dxa"/>
            <w:gridSpan w:val="2"/>
            <w:tcBorders>
              <w:left w:val="single" w:color="000000" w:sz="2" w:space="0"/>
              <w:right w:val="single" w:color="000000" w:sz="2" w:space="0"/>
            </w:tcBorders>
            <w:vAlign w:val="center"/>
          </w:tcPr>
          <w:p w14:paraId="09BBE57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3191A2E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加工精度、</w:t>
            </w:r>
          </w:p>
          <w:p w14:paraId="1C27CCA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04F44AD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《粮油检验 小麦粉加工精度检验》                          GB/T 5504-2011</w:t>
            </w:r>
          </w:p>
        </w:tc>
        <w:tc>
          <w:tcPr>
            <w:tcW w:w="2171" w:type="dxa"/>
            <w:tcBorders>
              <w:right w:val="single" w:color="000000" w:sz="2" w:space="0"/>
            </w:tcBorders>
            <w:vAlign w:val="center"/>
          </w:tcPr>
          <w:p w14:paraId="0D3B2AD2">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themeColor="text1"/>
                <w:kern w:val="0"/>
                <w:sz w:val="22"/>
                <w:szCs w:val="22"/>
                <w:highlight w:val="none"/>
                <w:lang w:val="en-US" w:eastAsia="en-US" w:bidi="ar-SA"/>
                <w14:textFill>
                  <w14:solidFill>
                    <w14:schemeClr w14:val="tx1"/>
                  </w14:solidFill>
                </w14:textFill>
              </w:rPr>
            </w:pPr>
            <w:r>
              <w:rPr>
                <w:rFonts w:hint="default" w:ascii="Times New Roman" w:hAnsi="Times New Roman" w:eastAsia="仿宋_GB2312" w:cs="Times New Roman"/>
                <w:snapToGrid w:val="0"/>
                <w:color w:val="000000" w:themeColor="text1"/>
                <w:kern w:val="0"/>
                <w:sz w:val="22"/>
                <w:szCs w:val="22"/>
                <w:highlight w:val="none"/>
                <w:lang w:val="en-US" w:eastAsia="en-US" w:bidi="ar-SA"/>
                <w14:textFill>
                  <w14:solidFill>
                    <w14:schemeClr w14:val="tx1"/>
                  </w14:solidFill>
                </w14:textFill>
              </w:rPr>
              <w:t>《粮油检验 小麦粉加工精度检验》</w:t>
            </w:r>
          </w:p>
          <w:p w14:paraId="6AACE1FA">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themeColor="text1"/>
                <w:kern w:val="0"/>
                <w:sz w:val="22"/>
                <w:szCs w:val="22"/>
                <w:highlight w:val="none"/>
                <w:lang w:val="en-US" w:eastAsia="en-US" w:bidi="ar-SA"/>
                <w14:textFill>
                  <w14:solidFill>
                    <w14:schemeClr w14:val="tx1"/>
                  </w14:solidFill>
                </w14:textFill>
              </w:rPr>
            </w:pPr>
            <w:r>
              <w:rPr>
                <w:rFonts w:hint="default" w:ascii="Times New Roman" w:hAnsi="Times New Roman" w:eastAsia="仿宋_GB2312" w:cs="Times New Roman"/>
                <w:snapToGrid w:val="0"/>
                <w:color w:val="000000" w:themeColor="text1"/>
                <w:kern w:val="0"/>
                <w:sz w:val="22"/>
                <w:szCs w:val="22"/>
                <w:highlight w:val="none"/>
                <w:lang w:val="en-US" w:eastAsia="en-US" w:bidi="ar-SA"/>
                <w14:textFill>
                  <w14:solidFill>
                    <w14:schemeClr w14:val="tx1"/>
                  </w14:solidFill>
                </w14:textFill>
              </w:rPr>
              <w:t>GB/T 5504-2025</w:t>
            </w:r>
          </w:p>
        </w:tc>
        <w:tc>
          <w:tcPr>
            <w:tcW w:w="626" w:type="dxa"/>
            <w:tcBorders>
              <w:left w:val="single" w:color="000000" w:sz="2" w:space="0"/>
            </w:tcBorders>
            <w:vAlign w:val="center"/>
          </w:tcPr>
          <w:p w14:paraId="1C929668">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i w:val="0"/>
                <w:iCs w:val="0"/>
                <w:snapToGrid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仿宋_GB2312" w:cs="Times New Roman"/>
                <w:i w:val="0"/>
                <w:iCs w:val="0"/>
                <w:snapToGrid w:val="0"/>
                <w:color w:val="000000" w:themeColor="text1"/>
                <w:kern w:val="0"/>
                <w:sz w:val="21"/>
                <w:szCs w:val="21"/>
                <w:highlight w:val="none"/>
                <w:u w:val="none"/>
                <w:lang w:val="en-US" w:eastAsia="zh-CN" w:bidi="ar"/>
                <w14:textFill>
                  <w14:solidFill>
                    <w14:schemeClr w14:val="tx1"/>
                  </w14:solidFill>
                </w14:textFill>
              </w:rPr>
              <w:t>只用5</w:t>
            </w:r>
          </w:p>
        </w:tc>
        <w:tc>
          <w:tcPr>
            <w:tcW w:w="3046" w:type="dxa"/>
            <w:vAlign w:val="center"/>
          </w:tcPr>
          <w:p w14:paraId="67B278D7">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更改了范围的适用界限(见第1章,2011年版的第1章);</w:t>
            </w:r>
          </w:p>
          <w:p w14:paraId="48024AB1">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增加了小麦粉加工精度检验的仪器法(见第4章);</w:t>
            </w:r>
          </w:p>
          <w:p w14:paraId="32D831F4">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更改了材料的要求(见 5.2.1和5.2.2,2011年版的 5.1);</w:t>
            </w:r>
          </w:p>
          <w:p w14:paraId="4F33FB0C">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更改了目测比较的光照条件(见 5.3.2,2011年版的 7.2.1);</w:t>
            </w:r>
          </w:p>
          <w:p w14:paraId="123F89D4">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更改了样品制备方法(见5.4.1,2011年版的 7.1);</w:t>
            </w:r>
          </w:p>
          <w:p w14:paraId="3CC480FE">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删除了粉色测定的相关内容(见2011年版的第7章、第8章)</w:t>
            </w:r>
          </w:p>
          <w:p w14:paraId="7C8C96C6">
            <w:pPr>
              <w:keepNext w:val="0"/>
              <w:keepLines w:val="0"/>
              <w:pageBreakBefore w:val="0"/>
              <w:widowControl/>
              <w:numPr>
                <w:ilvl w:val="0"/>
                <w:numId w:val="4"/>
              </w:numPr>
              <w:kinsoku w:val="0"/>
              <w:wordWrap/>
              <w:overflowPunct/>
              <w:topLinePunct w:val="0"/>
              <w:autoSpaceDE w:val="0"/>
              <w:autoSpaceDN w:val="0"/>
              <w:bidi w:val="0"/>
              <w:adjustRightInd w:val="0"/>
              <w:snapToGrid w:val="0"/>
              <w:spacing w:line="240" w:lineRule="auto"/>
              <w:ind w:left="0" w:leftChars="0" w:firstLine="0" w:firstLine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更改了检验结果的表示方法(见5.5,2011年版的第8章)。</w:t>
            </w:r>
          </w:p>
        </w:tc>
      </w:tr>
      <w:tr w14:paraId="1ADB8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695D8D9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1.21</w:t>
            </w:r>
          </w:p>
        </w:tc>
        <w:tc>
          <w:tcPr>
            <w:tcW w:w="1579" w:type="dxa"/>
            <w:gridSpan w:val="2"/>
            <w:tcBorders>
              <w:left w:val="single" w:color="000000" w:sz="2" w:space="0"/>
              <w:right w:val="single" w:color="000000" w:sz="2" w:space="0"/>
            </w:tcBorders>
            <w:vAlign w:val="center"/>
          </w:tcPr>
          <w:p w14:paraId="692C84C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5DD4128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纯仁率、</w:t>
            </w:r>
          </w:p>
          <w:p w14:paraId="7181398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1C2DA47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带壳油料纯仁率检验法》          GB/T 5499-2008 </w:t>
            </w:r>
          </w:p>
        </w:tc>
        <w:tc>
          <w:tcPr>
            <w:tcW w:w="2171" w:type="dxa"/>
            <w:tcBorders>
              <w:right w:val="single" w:color="000000" w:sz="2" w:space="0"/>
            </w:tcBorders>
            <w:vAlign w:val="center"/>
          </w:tcPr>
          <w:p w14:paraId="378AD5E7">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带壳油料纯仁率检验法》         GB/T 5499-2025 </w:t>
            </w:r>
          </w:p>
        </w:tc>
        <w:tc>
          <w:tcPr>
            <w:tcW w:w="626" w:type="dxa"/>
            <w:tcBorders>
              <w:left w:val="single" w:color="000000" w:sz="2" w:space="0"/>
            </w:tcBorders>
            <w:vAlign w:val="center"/>
          </w:tcPr>
          <w:p w14:paraId="5A8AA534">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i w:val="0"/>
                <w:iCs w:val="0"/>
                <w:snapToGrid w:val="0"/>
                <w:color w:val="000000"/>
                <w:kern w:val="0"/>
                <w:sz w:val="21"/>
                <w:szCs w:val="21"/>
                <w:u w:val="none"/>
                <w:lang w:val="en-US" w:eastAsia="zh-CN" w:bidi="ar"/>
              </w:rPr>
            </w:pPr>
          </w:p>
        </w:tc>
        <w:tc>
          <w:tcPr>
            <w:tcW w:w="3046" w:type="dxa"/>
            <w:vAlign w:val="center"/>
          </w:tcPr>
          <w:p w14:paraId="223D1951">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更改了范围(见第1章,2008 年版的第1章);</w:t>
            </w:r>
          </w:p>
          <w:p w14:paraId="62662D5F">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更改了仪器设备(见第4章,2008年版的第4章);</w:t>
            </w:r>
          </w:p>
          <w:p w14:paraId="0C3024A5">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更改了试样的称样量(见 6.1,2008 年版的 6.1);</w:t>
            </w:r>
          </w:p>
          <w:p w14:paraId="1A484386">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增加了自动剥壳(见 6.2.2);</w:t>
            </w:r>
          </w:p>
          <w:p w14:paraId="61EF89B8">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Chars="0"/>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增加了精密度(见第8章)。</w:t>
            </w:r>
          </w:p>
        </w:tc>
      </w:tr>
      <w:tr w14:paraId="17B2F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6" w:hRule="atLeast"/>
        </w:trPr>
        <w:tc>
          <w:tcPr>
            <w:tcW w:w="561" w:type="dxa"/>
            <w:tcBorders>
              <w:right w:val="single" w:color="000000" w:sz="2" w:space="0"/>
            </w:tcBorders>
            <w:vAlign w:val="center"/>
          </w:tcPr>
          <w:p w14:paraId="5DA83919">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1.51</w:t>
            </w:r>
          </w:p>
        </w:tc>
        <w:tc>
          <w:tcPr>
            <w:tcW w:w="1579" w:type="dxa"/>
            <w:gridSpan w:val="2"/>
            <w:tcBorders>
              <w:left w:val="single" w:color="000000" w:sz="2" w:space="0"/>
              <w:right w:val="single" w:color="000000" w:sz="2" w:space="0"/>
            </w:tcBorders>
            <w:vAlign w:val="center"/>
          </w:tcPr>
          <w:p w14:paraId="60BEB2C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41EE4C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品尝评分值、</w:t>
            </w:r>
          </w:p>
          <w:p w14:paraId="72325EE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501FDE96">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稻谷、大米蒸煮食用品质感官评价方法》GB/T 15682-2008 </w:t>
            </w:r>
          </w:p>
        </w:tc>
        <w:tc>
          <w:tcPr>
            <w:tcW w:w="2171" w:type="dxa"/>
            <w:tcBorders>
              <w:right w:val="single" w:color="000000" w:sz="2" w:space="0"/>
            </w:tcBorders>
            <w:vAlign w:val="center"/>
          </w:tcPr>
          <w:p w14:paraId="32DAE78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稻谷、大米蒸煮食用品质评价方法》GB/T 15682-2025 </w:t>
            </w:r>
          </w:p>
        </w:tc>
        <w:tc>
          <w:tcPr>
            <w:tcW w:w="626" w:type="dxa"/>
            <w:tcBorders>
              <w:left w:val="single" w:color="000000" w:sz="2" w:space="0"/>
            </w:tcBorders>
            <w:vAlign w:val="center"/>
          </w:tcPr>
          <w:p w14:paraId="011E7A2D">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i w:val="0"/>
                <w:iCs w:val="0"/>
                <w:snapToGrid w:val="0"/>
                <w:color w:val="000000"/>
                <w:kern w:val="0"/>
                <w:sz w:val="21"/>
                <w:szCs w:val="21"/>
                <w:highlight w:val="none"/>
                <w:u w:val="none"/>
                <w:lang w:val="en-US" w:eastAsia="zh-CN" w:bidi="ar"/>
              </w:rPr>
              <w:t>只用4</w:t>
            </w:r>
          </w:p>
        </w:tc>
        <w:tc>
          <w:tcPr>
            <w:tcW w:w="3046" w:type="dxa"/>
            <w:vAlign w:val="center"/>
          </w:tcPr>
          <w:p w14:paraId="0129521E">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更改了范围(见第1章,2008年版的第1章);</w:t>
            </w:r>
          </w:p>
          <w:p w14:paraId="4F0E027C">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增加了“大米食用品质评价员”的术语和定义(见 3.2);</w:t>
            </w:r>
          </w:p>
          <w:p w14:paraId="3E2CC479">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删除了“初级评价员”“优选评价员”2个术语和定义(见 2008 年版的 3.2、3.3)；</w:t>
            </w:r>
          </w:p>
          <w:p w14:paraId="2E95C9D7">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更改了参考样品选择的相关内容(见4.3.2,2008年版的 6.1.4)；</w:t>
            </w:r>
          </w:p>
          <w:p w14:paraId="4669BFD9">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更改了小量米饭试样和大量米饭试样制备的相关内容(见 4.3.5、4,3.6,2008 年版的6.2)；</w:t>
            </w:r>
          </w:p>
          <w:p w14:paraId="37EE88B4">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更改了品评要求(见 4.4,2008年版的第7章);</w:t>
            </w:r>
          </w:p>
          <w:p w14:paraId="4F3478F2">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更改了品评程序(见 4.5,2008年版的第8章)；</w:t>
            </w:r>
          </w:p>
          <w:p w14:paraId="2D7F3861">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更改了结果表示(见 4.6,2008 年版的 8.3);</w:t>
            </w:r>
          </w:p>
          <w:p w14:paraId="2D823AB5">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增加了仪器测定法的相关内容(见第5章);</w:t>
            </w:r>
          </w:p>
          <w:p w14:paraId="065D6932">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更改了大米食用品质评价员选拔和培训方法的相关要求(见附录A,2008年版的附录A);</w:t>
            </w:r>
          </w:p>
          <w:p w14:paraId="19D1FC82">
            <w:pPr>
              <w:keepNext w:val="0"/>
              <w:keepLines w:val="0"/>
              <w:pageBreakBefore w:val="0"/>
              <w:widowControl/>
              <w:numPr>
                <w:ilvl w:val="0"/>
                <w:numId w:val="6"/>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增加了附录 B(规范性)“仪器检测准确性验证方法”(见附录B)。</w:t>
            </w:r>
          </w:p>
        </w:tc>
      </w:tr>
      <w:tr w14:paraId="7C625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6" w:hRule="atLeast"/>
        </w:trPr>
        <w:tc>
          <w:tcPr>
            <w:tcW w:w="561" w:type="dxa"/>
            <w:tcBorders>
              <w:right w:val="single" w:color="000000" w:sz="2" w:space="0"/>
            </w:tcBorders>
            <w:vAlign w:val="center"/>
          </w:tcPr>
          <w:p w14:paraId="7B637DAD">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i w:val="0"/>
                <w:iCs w:val="0"/>
                <w:snapToGrid w:val="0"/>
                <w:color w:val="000000"/>
                <w:kern w:val="0"/>
                <w:sz w:val="20"/>
                <w:szCs w:val="20"/>
                <w:u w:val="none"/>
                <w:lang w:val="en-US" w:eastAsia="zh-CN" w:bidi="ar"/>
              </w:rPr>
            </w:pPr>
            <w:r>
              <w:rPr>
                <w:rFonts w:hint="eastAsia" w:ascii="Times New Roman" w:hAnsi="Times New Roman" w:eastAsia="宋体" w:cs="Times New Roman"/>
                <w:i w:val="0"/>
                <w:iCs w:val="0"/>
                <w:snapToGrid w:val="0"/>
                <w:color w:val="000000"/>
                <w:kern w:val="0"/>
                <w:sz w:val="20"/>
                <w:szCs w:val="20"/>
                <w:u w:val="none"/>
                <w:lang w:val="en-US" w:eastAsia="zh-CN" w:bidi="ar"/>
              </w:rPr>
              <w:t>1.62</w:t>
            </w:r>
          </w:p>
        </w:tc>
        <w:tc>
          <w:tcPr>
            <w:tcW w:w="1579" w:type="dxa"/>
            <w:gridSpan w:val="2"/>
            <w:tcBorders>
              <w:left w:val="single" w:color="000000" w:sz="2" w:space="0"/>
              <w:right w:val="single" w:color="000000" w:sz="2" w:space="0"/>
            </w:tcBorders>
            <w:vAlign w:val="center"/>
          </w:tcPr>
          <w:p w14:paraId="0ABC6E9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理化指标</w:t>
            </w:r>
          </w:p>
          <w:p w14:paraId="2C7DCCD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18"/>
                <w:szCs w:val="18"/>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w:t>
            </w:r>
            <w:r>
              <w:rPr>
                <w:rFonts w:hint="eastAsia" w:ascii="Times New Roman" w:hAnsi="Times New Roman" w:eastAsia="仿宋_GB2312" w:cs="Times New Roman"/>
                <w:snapToGrid w:val="0"/>
                <w:color w:val="auto"/>
                <w:kern w:val="0"/>
                <w:sz w:val="21"/>
                <w:szCs w:val="21"/>
                <w:lang w:val="en-US" w:eastAsia="zh-CN" w:bidi="ar-SA"/>
              </w:rPr>
              <w:t>含砂量、</w:t>
            </w:r>
          </w:p>
          <w:p w14:paraId="0B939B2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202</w:t>
            </w:r>
            <w:r>
              <w:rPr>
                <w:rFonts w:hint="eastAsia" w:ascii="Times New Roman" w:hAnsi="Times New Roman" w:eastAsia="仿宋_GB2312" w:cs="Times New Roman"/>
                <w:snapToGrid w:val="0"/>
                <w:color w:val="auto"/>
                <w:kern w:val="0"/>
                <w:sz w:val="21"/>
                <w:szCs w:val="21"/>
                <w:lang w:val="en-US" w:eastAsia="zh-CN" w:bidi="ar-SA"/>
              </w:rPr>
              <w:t>2</w:t>
            </w:r>
            <w:r>
              <w:rPr>
                <w:rFonts w:hint="default" w:ascii="Times New Roman" w:hAnsi="Times New Roman" w:eastAsia="仿宋_GB2312" w:cs="Times New Roman"/>
                <w:snapToGrid w:val="0"/>
                <w:color w:val="auto"/>
                <w:kern w:val="0"/>
                <w:sz w:val="21"/>
                <w:szCs w:val="21"/>
                <w:lang w:val="en-US" w:eastAsia="zh-CN" w:bidi="ar-SA"/>
              </w:rPr>
              <w:t>年</w:t>
            </w:r>
            <w:r>
              <w:rPr>
                <w:rFonts w:hint="eastAsia" w:ascii="Times New Roman" w:hAnsi="Times New Roman" w:eastAsia="仿宋_GB2312" w:cs="Times New Roman"/>
                <w:snapToGrid w:val="0"/>
                <w:color w:val="auto"/>
                <w:kern w:val="0"/>
                <w:sz w:val="21"/>
                <w:szCs w:val="21"/>
                <w:lang w:val="en-US" w:eastAsia="zh-CN" w:bidi="ar-SA"/>
              </w:rPr>
              <w:t>4</w:t>
            </w:r>
            <w:r>
              <w:rPr>
                <w:rFonts w:hint="default" w:ascii="Times New Roman" w:hAnsi="Times New Roman" w:eastAsia="仿宋_GB2312" w:cs="Times New Roman"/>
                <w:snapToGrid w:val="0"/>
                <w:color w:val="auto"/>
                <w:kern w:val="0"/>
                <w:sz w:val="21"/>
                <w:szCs w:val="21"/>
                <w:lang w:val="en-US" w:eastAsia="zh-CN" w:bidi="ar-SA"/>
              </w:rPr>
              <w:t>月</w:t>
            </w:r>
            <w:r>
              <w:rPr>
                <w:rFonts w:hint="eastAsia" w:ascii="Times New Roman" w:hAnsi="Times New Roman" w:eastAsia="仿宋_GB2312" w:cs="Times New Roman"/>
                <w:snapToGrid w:val="0"/>
                <w:color w:val="auto"/>
                <w:kern w:val="0"/>
                <w:sz w:val="21"/>
                <w:szCs w:val="21"/>
                <w:lang w:val="en-US" w:eastAsia="zh-CN" w:bidi="ar-SA"/>
              </w:rPr>
              <w:t>27</w:t>
            </w:r>
            <w:r>
              <w:rPr>
                <w:rFonts w:hint="default" w:ascii="Times New Roman" w:hAnsi="Times New Roman" w:eastAsia="仿宋_GB2312" w:cs="Times New Roman"/>
                <w:snapToGrid w:val="0"/>
                <w:color w:val="auto"/>
                <w:kern w:val="0"/>
                <w:sz w:val="21"/>
                <w:szCs w:val="21"/>
                <w:lang w:val="en-US" w:eastAsia="zh-CN" w:bidi="ar-SA"/>
              </w:rPr>
              <w:t>日</w:t>
            </w:r>
            <w:r>
              <w:rPr>
                <w:rFonts w:hint="eastAsia" w:ascii="Times New Roman" w:hAnsi="Times New Roman" w:eastAsia="仿宋_GB2312" w:cs="Times New Roman"/>
                <w:snapToGrid w:val="0"/>
                <w:color w:val="auto"/>
                <w:kern w:val="0"/>
                <w:sz w:val="21"/>
                <w:szCs w:val="21"/>
                <w:lang w:val="en-US" w:eastAsia="zh-CN" w:bidi="ar-SA"/>
              </w:rPr>
              <w:t>)</w:t>
            </w:r>
          </w:p>
        </w:tc>
        <w:tc>
          <w:tcPr>
            <w:tcW w:w="2056" w:type="dxa"/>
            <w:tcBorders>
              <w:left w:val="single" w:color="000000" w:sz="2" w:space="0"/>
            </w:tcBorders>
            <w:vAlign w:val="center"/>
          </w:tcPr>
          <w:p w14:paraId="6C22CD30">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 xml:space="preserve">《粮油检验 粉类粮食含砂量测定》                  GB/T 5508-2011 </w:t>
            </w:r>
          </w:p>
        </w:tc>
        <w:tc>
          <w:tcPr>
            <w:tcW w:w="2171" w:type="dxa"/>
            <w:tcBorders>
              <w:right w:val="single" w:color="000000" w:sz="2" w:space="0"/>
            </w:tcBorders>
            <w:vAlign w:val="center"/>
          </w:tcPr>
          <w:p w14:paraId="3529FA1E">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仿宋_GB2312" w:cs="Times New Roman"/>
                <w:snapToGrid w:val="0"/>
                <w:color w:val="000000"/>
                <w:kern w:val="0"/>
                <w:sz w:val="22"/>
                <w:szCs w:val="22"/>
                <w:lang w:val="en-US" w:eastAsia="en-US" w:bidi="ar-SA"/>
              </w:rPr>
            </w:pPr>
            <w:r>
              <w:rPr>
                <w:rFonts w:hint="default" w:ascii="Times New Roman" w:hAnsi="Times New Roman" w:eastAsia="仿宋_GB2312" w:cs="Times New Roman"/>
                <w:snapToGrid w:val="0"/>
                <w:color w:val="000000"/>
                <w:kern w:val="0"/>
                <w:sz w:val="22"/>
                <w:szCs w:val="22"/>
                <w:lang w:val="en-US" w:eastAsia="en-US" w:bidi="ar-SA"/>
              </w:rPr>
              <w:t>《粮油检验 粉类粮食含砂量测定》            GB/T 5508-2025</w:t>
            </w:r>
          </w:p>
        </w:tc>
        <w:tc>
          <w:tcPr>
            <w:tcW w:w="626" w:type="dxa"/>
            <w:tcBorders>
              <w:left w:val="single" w:color="000000" w:sz="2" w:space="0"/>
            </w:tcBorders>
            <w:vAlign w:val="center"/>
          </w:tcPr>
          <w:p w14:paraId="22B57C80">
            <w:pPr>
              <w:keepNext w:val="0"/>
              <w:keepLines w:val="0"/>
              <w:pageBreakBefore w:val="0"/>
              <w:widowControl/>
              <w:kinsoku w:val="0"/>
              <w:wordWrap/>
              <w:overflowPunct/>
              <w:topLinePunct w:val="0"/>
              <w:autoSpaceDE w:val="0"/>
              <w:autoSpaceDN w:val="0"/>
              <w:bidi w:val="0"/>
              <w:adjustRightInd w:val="0"/>
              <w:snapToGrid w:val="0"/>
              <w:spacing w:line="240" w:lineRule="auto"/>
              <w:jc w:val="center"/>
              <w:rPr>
                <w:rFonts w:hint="default" w:ascii="Times New Roman" w:hAnsi="Times New Roman" w:eastAsia="仿宋_GB2312" w:cs="Times New Roman"/>
                <w:i w:val="0"/>
                <w:iCs w:val="0"/>
                <w:snapToGrid w:val="0"/>
                <w:color w:val="000000"/>
                <w:kern w:val="0"/>
                <w:sz w:val="21"/>
                <w:szCs w:val="21"/>
                <w:u w:val="none"/>
                <w:lang w:val="en-US" w:eastAsia="zh-CN" w:bidi="ar"/>
              </w:rPr>
            </w:pPr>
            <w:r>
              <w:rPr>
                <w:rFonts w:hint="eastAsia" w:ascii="Times New Roman" w:hAnsi="Times New Roman" w:eastAsia="仿宋_GB2312" w:cs="Times New Roman"/>
                <w:i w:val="0"/>
                <w:iCs w:val="0"/>
                <w:snapToGrid w:val="0"/>
                <w:color w:val="000000"/>
                <w:kern w:val="0"/>
                <w:sz w:val="21"/>
                <w:szCs w:val="21"/>
                <w:highlight w:val="none"/>
                <w:u w:val="none"/>
                <w:lang w:val="en-US" w:eastAsia="zh-CN" w:bidi="ar"/>
              </w:rPr>
              <w:t>只用7.2.1</w:t>
            </w:r>
          </w:p>
        </w:tc>
        <w:tc>
          <w:tcPr>
            <w:tcW w:w="3046" w:type="dxa"/>
            <w:vAlign w:val="center"/>
          </w:tcPr>
          <w:p w14:paraId="0DF4B0DA">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更改了试剂及试剂警告,将四氯化碳更改为四氯乙烯(见 5.2,2011年版的第5章);</w:t>
            </w:r>
          </w:p>
          <w:p w14:paraId="60E43BBF">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 10%盐酸溶液试剂(见5.3);</w:t>
            </w:r>
          </w:p>
          <w:p w14:paraId="629C5737">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更改了仪器和设备,将电炉更改为电热板(见6.5,2011年版的6.5);</w:t>
            </w:r>
          </w:p>
          <w:p w14:paraId="5A2457B6">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仪器和设备中增加了容量瓶、吸管、水浴锅、马弗炉(见6.9~6.12);</w:t>
            </w:r>
          </w:p>
          <w:p w14:paraId="569E8A75">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增加了马弗炉灼烧的步骤(见 7.2.1、7.2.2);</w:t>
            </w:r>
          </w:p>
          <w:p w14:paraId="138A79E9">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增加了含营养强化剂和无机盐类食品添加剂粉类粮食中含砂量的测定(见 7.2.3);</w:t>
            </w:r>
          </w:p>
          <w:p w14:paraId="3D2B3F02">
            <w:pPr>
              <w:keepNext w:val="0"/>
              <w:keepLines w:val="0"/>
              <w:pageBreakBefore w:val="0"/>
              <w:widowControl/>
              <w:numPr>
                <w:ilvl w:val="0"/>
                <w:numId w:val="7"/>
              </w:numPr>
              <w:kinsoku w:val="0"/>
              <w:wordWrap/>
              <w:overflowPunct/>
              <w:topLinePunct w:val="0"/>
              <w:autoSpaceDE w:val="0"/>
              <w:autoSpaceDN w:val="0"/>
              <w:bidi w:val="0"/>
              <w:adjustRightInd w:val="0"/>
              <w:snapToGrid w:val="0"/>
              <w:spacing w:line="240" w:lineRule="auto"/>
              <w:jc w:val="left"/>
              <w:rPr>
                <w:rFonts w:hint="eastAsia" w:ascii="Times New Roman" w:hAnsi="Times New Roman" w:eastAsia="仿宋_GB2312" w:cs="Times New Roman"/>
                <w:snapToGrid w:val="0"/>
                <w:color w:val="auto"/>
                <w:kern w:val="0"/>
                <w:sz w:val="21"/>
                <w:szCs w:val="21"/>
                <w:lang w:val="en-US" w:eastAsia="zh-CN" w:bidi="ar-SA"/>
              </w:rPr>
            </w:pPr>
            <w:r>
              <w:rPr>
                <w:rFonts w:hint="eastAsia" w:ascii="Times New Roman" w:hAnsi="Times New Roman" w:eastAsia="仿宋_GB2312" w:cs="Times New Roman"/>
                <w:snapToGrid w:val="0"/>
                <w:color w:val="auto"/>
                <w:kern w:val="0"/>
                <w:sz w:val="21"/>
                <w:szCs w:val="21"/>
                <w:lang w:val="en-US" w:eastAsia="zh-CN" w:bidi="ar-SA"/>
              </w:rPr>
              <w:t>增加了再现性要求(见 9.2)</w:t>
            </w:r>
          </w:p>
        </w:tc>
      </w:tr>
      <w:tr w14:paraId="75EED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4" w:hRule="atLeast"/>
        </w:trPr>
        <w:tc>
          <w:tcPr>
            <w:tcW w:w="1719" w:type="dxa"/>
            <w:gridSpan w:val="2"/>
            <w:tcBorders>
              <w:right w:val="single" w:color="000000" w:sz="2" w:space="0"/>
            </w:tcBorders>
            <w:vAlign w:val="top"/>
          </w:tcPr>
          <w:p w14:paraId="11025D6C">
            <w:pPr>
              <w:spacing w:line="256" w:lineRule="auto"/>
              <w:rPr>
                <w:rFonts w:ascii="Arial"/>
                <w:sz w:val="21"/>
              </w:rPr>
            </w:pPr>
          </w:p>
          <w:p w14:paraId="3CA496DC">
            <w:pPr>
              <w:spacing w:line="256" w:lineRule="auto"/>
              <w:rPr>
                <w:rFonts w:ascii="Arial"/>
                <w:sz w:val="21"/>
              </w:rPr>
            </w:pPr>
          </w:p>
          <w:p w14:paraId="39AB2B89">
            <w:pPr>
              <w:spacing w:line="256" w:lineRule="auto"/>
              <w:rPr>
                <w:rFonts w:ascii="Arial"/>
                <w:sz w:val="21"/>
              </w:rPr>
            </w:pPr>
          </w:p>
          <w:p w14:paraId="6428A8DA">
            <w:pPr>
              <w:spacing w:line="256" w:lineRule="auto"/>
              <w:rPr>
                <w:rFonts w:ascii="Arial"/>
                <w:sz w:val="21"/>
              </w:rPr>
            </w:pPr>
          </w:p>
          <w:p w14:paraId="129878F9">
            <w:pPr>
              <w:spacing w:line="257" w:lineRule="auto"/>
              <w:rPr>
                <w:rFonts w:ascii="Arial"/>
                <w:sz w:val="21"/>
              </w:rPr>
            </w:pPr>
          </w:p>
          <w:p w14:paraId="66A2465B">
            <w:pPr>
              <w:pStyle w:val="8"/>
              <w:spacing w:before="78" w:line="219" w:lineRule="auto"/>
              <w:ind w:left="467"/>
            </w:pPr>
            <w:r>
              <w:rPr>
                <w:spacing w:val="-24"/>
              </w:rPr>
              <w:t>自我承诺</w:t>
            </w:r>
          </w:p>
        </w:tc>
        <w:tc>
          <w:tcPr>
            <w:tcW w:w="8320" w:type="dxa"/>
            <w:gridSpan w:val="5"/>
            <w:tcBorders>
              <w:left w:val="single" w:color="000000" w:sz="2" w:space="0"/>
            </w:tcBorders>
            <w:vAlign w:val="top"/>
          </w:tcPr>
          <w:p w14:paraId="7E3AD544">
            <w:pPr>
              <w:spacing w:line="287" w:lineRule="auto"/>
              <w:rPr>
                <w:rFonts w:ascii="Arial"/>
                <w:color w:val="000000" w:themeColor="text1"/>
                <w:sz w:val="21"/>
                <w14:textFill>
                  <w14:solidFill>
                    <w14:schemeClr w14:val="tx1"/>
                  </w14:solidFill>
                </w14:textFill>
              </w:rPr>
            </w:pPr>
          </w:p>
          <w:p w14:paraId="2140EB37">
            <w:pPr>
              <w:pStyle w:val="8"/>
              <w:spacing w:before="78" w:line="401" w:lineRule="exact"/>
              <w:ind w:left="113"/>
              <w:rPr>
                <w:color w:val="000000" w:themeColor="text1"/>
                <w14:textFill>
                  <w14:solidFill>
                    <w14:schemeClr w14:val="tx1"/>
                  </w14:solidFill>
                </w14:textFill>
              </w:rPr>
            </w:pPr>
            <w:r>
              <w:rPr>
                <w:color w:val="000000" w:themeColor="text1"/>
                <w:spacing w:val="-20"/>
                <w:position w:val="11"/>
                <w14:textFill>
                  <w14:solidFill>
                    <w14:schemeClr w14:val="tx1"/>
                  </w14:solidFill>
                </w14:textFill>
              </w:rPr>
              <w:t>本次变更不涉及实际能力变化，本机构承诺已具备新标准（方法）所需相应资质认定</w:t>
            </w:r>
          </w:p>
          <w:p w14:paraId="49A577BE">
            <w:pPr>
              <w:pStyle w:val="8"/>
              <w:spacing w:line="218" w:lineRule="auto"/>
              <w:ind w:left="114"/>
              <w:rPr>
                <w:color w:val="000000" w:themeColor="text1"/>
                <w14:textFill>
                  <w14:solidFill>
                    <w14:schemeClr w14:val="tx1"/>
                  </w14:solidFill>
                </w14:textFill>
              </w:rPr>
            </w:pPr>
            <w:r>
              <w:rPr>
                <w:color w:val="000000" w:themeColor="text1"/>
                <w:spacing w:val="-17"/>
                <w14:textFill>
                  <w14:solidFill>
                    <w14:schemeClr w14:val="tx1"/>
                  </w14:solidFill>
                </w14:textFill>
              </w:rPr>
              <w:t>条件，并对承诺的真实性负责。</w:t>
            </w:r>
          </w:p>
          <w:p w14:paraId="26188CAC">
            <w:pPr>
              <w:spacing w:line="277" w:lineRule="auto"/>
              <w:rPr>
                <w:rFonts w:ascii="Arial"/>
                <w:color w:val="000000" w:themeColor="text1"/>
                <w:sz w:val="21"/>
                <w14:textFill>
                  <w14:solidFill>
                    <w14:schemeClr w14:val="tx1"/>
                  </w14:solidFill>
                </w14:textFill>
              </w:rPr>
            </w:pPr>
          </w:p>
          <w:p w14:paraId="21A425AD">
            <w:pPr>
              <w:spacing w:line="277" w:lineRule="auto"/>
              <w:rPr>
                <w:rFonts w:ascii="Arial"/>
                <w:color w:val="000000" w:themeColor="text1"/>
                <w:sz w:val="21"/>
                <w14:textFill>
                  <w14:solidFill>
                    <w14:schemeClr w14:val="tx1"/>
                  </w14:solidFill>
                </w14:textFill>
              </w:rPr>
            </w:pPr>
          </w:p>
          <w:p w14:paraId="0B353687">
            <w:pPr>
              <w:spacing w:line="278" w:lineRule="auto"/>
              <w:rPr>
                <w:rFonts w:ascii="Arial"/>
                <w:color w:val="000000" w:themeColor="text1"/>
                <w:sz w:val="21"/>
                <w14:textFill>
                  <w14:solidFill>
                    <w14:schemeClr w14:val="tx1"/>
                  </w14:solidFill>
                </w14:textFill>
              </w:rPr>
            </w:pPr>
          </w:p>
          <w:p w14:paraId="61FC3EA4">
            <w:pPr>
              <w:pStyle w:val="8"/>
              <w:spacing w:before="78" w:line="218" w:lineRule="auto"/>
              <w:ind w:left="5276"/>
              <w:rPr>
                <w:color w:val="000000" w:themeColor="text1"/>
                <w:spacing w:val="-15"/>
                <w14:textFill>
                  <w14:solidFill>
                    <w14:schemeClr w14:val="tx1"/>
                  </w14:solidFill>
                </w14:textFill>
              </w:rPr>
            </w:pPr>
          </w:p>
          <w:p w14:paraId="38796E1D">
            <w:pPr>
              <w:pStyle w:val="8"/>
              <w:spacing w:before="78" w:line="218" w:lineRule="auto"/>
              <w:ind w:left="5276"/>
              <w:rPr>
                <w:color w:val="000000" w:themeColor="text1"/>
                <w14:textFill>
                  <w14:solidFill>
                    <w14:schemeClr w14:val="tx1"/>
                  </w14:solidFill>
                </w14:textFill>
              </w:rPr>
            </w:pPr>
            <w:r>
              <w:rPr>
                <w:color w:val="000000" w:themeColor="text1"/>
                <w:spacing w:val="-15"/>
                <w14:textFill>
                  <w14:solidFill>
                    <w14:schemeClr w14:val="tx1"/>
                  </w14:solidFill>
                </w14:textFill>
              </w:rPr>
              <w:t>（印章）</w:t>
            </w:r>
          </w:p>
          <w:p w14:paraId="6339A5C4">
            <w:pPr>
              <w:pStyle w:val="8"/>
              <w:spacing w:before="117" w:line="219" w:lineRule="auto"/>
              <w:ind w:left="4766"/>
              <w:rPr>
                <w:color w:val="000000" w:themeColor="text1"/>
                <w14:textFill>
                  <w14:solidFill>
                    <w14:schemeClr w14:val="tx1"/>
                  </w14:solidFill>
                </w14:textFill>
              </w:rPr>
            </w:pPr>
            <w:r>
              <w:rPr>
                <w:color w:val="000000" w:themeColor="text1"/>
                <w:spacing w:val="-15"/>
                <w14:textFill>
                  <w14:solidFill>
                    <w14:schemeClr w14:val="tx1"/>
                  </w14:solidFill>
                </w14:textFill>
              </w:rPr>
              <w:t>备案日期：</w:t>
            </w:r>
            <w:r>
              <w:rPr>
                <w:rFonts w:hint="default" w:ascii="Times New Roman" w:hAnsi="Times New Roman" w:cs="Times New Roman"/>
                <w:color w:val="000000" w:themeColor="text1"/>
                <w:spacing w:val="-11"/>
                <w:lang w:val="en-US" w:eastAsia="zh-CN"/>
                <w14:textFill>
                  <w14:solidFill>
                    <w14:schemeClr w14:val="tx1"/>
                  </w14:solidFill>
                </w14:textFill>
              </w:rPr>
              <w:t>202</w:t>
            </w:r>
            <w:r>
              <w:rPr>
                <w:rFonts w:hint="eastAsia" w:ascii="Times New Roman" w:hAnsi="Times New Roman" w:cs="Times New Roman"/>
                <w:color w:val="000000" w:themeColor="text1"/>
                <w:spacing w:val="-11"/>
                <w:lang w:val="en-US" w:eastAsia="zh-CN"/>
                <w14:textFill>
                  <w14:solidFill>
                    <w14:schemeClr w14:val="tx1"/>
                  </w14:solidFill>
                </w14:textFill>
              </w:rPr>
              <w:t>6</w:t>
            </w:r>
            <w:r>
              <w:rPr>
                <w:rFonts w:hint="default" w:ascii="Times New Roman" w:hAnsi="Times New Roman" w:cs="Times New Roman"/>
                <w:color w:val="000000" w:themeColor="text1"/>
                <w:spacing w:val="-11"/>
                <w14:textFill>
                  <w14:solidFill>
                    <w14:schemeClr w14:val="tx1"/>
                  </w14:solidFill>
                </w14:textFill>
              </w:rPr>
              <w:t>年</w:t>
            </w:r>
            <w:r>
              <w:rPr>
                <w:rFonts w:hint="default" w:ascii="Times New Roman" w:hAnsi="Times New Roman" w:cs="Times New Roman"/>
                <w:color w:val="000000" w:themeColor="text1"/>
                <w:spacing w:val="-11"/>
                <w:lang w:val="en-US" w:eastAsia="zh-CN"/>
                <w14:textFill>
                  <w14:solidFill>
                    <w14:schemeClr w14:val="tx1"/>
                  </w14:solidFill>
                </w14:textFill>
              </w:rPr>
              <w:t>0</w:t>
            </w:r>
            <w:r>
              <w:rPr>
                <w:rFonts w:hint="eastAsia" w:ascii="Times New Roman" w:hAnsi="Times New Roman" w:cs="Times New Roman"/>
                <w:color w:val="000000" w:themeColor="text1"/>
                <w:spacing w:val="-11"/>
                <w:lang w:val="en-US" w:eastAsia="zh-CN"/>
                <w14:textFill>
                  <w14:solidFill>
                    <w14:schemeClr w14:val="tx1"/>
                  </w14:solidFill>
                </w14:textFill>
              </w:rPr>
              <w:t>5</w:t>
            </w:r>
            <w:r>
              <w:rPr>
                <w:rFonts w:hint="default" w:ascii="Times New Roman" w:hAnsi="Times New Roman" w:cs="Times New Roman"/>
                <w:color w:val="000000" w:themeColor="text1"/>
                <w:spacing w:val="-11"/>
                <w14:textFill>
                  <w14:solidFill>
                    <w14:schemeClr w14:val="tx1"/>
                  </w14:solidFill>
                </w14:textFill>
              </w:rPr>
              <w:t>月</w:t>
            </w:r>
            <w:r>
              <w:rPr>
                <w:rFonts w:hint="eastAsia" w:ascii="Times New Roman" w:hAnsi="Times New Roman" w:cs="Times New Roman"/>
                <w:color w:val="000000" w:themeColor="text1"/>
                <w:spacing w:val="-11"/>
                <w:lang w:val="en-US" w:eastAsia="zh-CN"/>
                <w14:textFill>
                  <w14:solidFill>
                    <w14:schemeClr w14:val="tx1"/>
                  </w14:solidFill>
                </w14:textFill>
              </w:rPr>
              <w:t>08</w:t>
            </w:r>
            <w:r>
              <w:rPr>
                <w:rFonts w:hint="default" w:ascii="Times New Roman" w:hAnsi="Times New Roman" w:cs="Times New Roman"/>
                <w:color w:val="000000" w:themeColor="text1"/>
                <w:spacing w:val="-11"/>
                <w14:textFill>
                  <w14:solidFill>
                    <w14:schemeClr w14:val="tx1"/>
                  </w14:solidFill>
                </w14:textFill>
              </w:rPr>
              <w:t>日</w:t>
            </w:r>
          </w:p>
        </w:tc>
      </w:tr>
    </w:tbl>
    <w:p w14:paraId="7D557AE4">
      <w:pPr>
        <w:pStyle w:val="2"/>
        <w:spacing w:before="147" w:line="216" w:lineRule="auto"/>
        <w:ind w:left="931"/>
      </w:pPr>
      <w:r>
        <w:rPr>
          <w:spacing w:val="-17"/>
        </w:rPr>
        <w:t>注：①“序号、类别”应与《证书附表》一致；</w:t>
      </w:r>
    </w:p>
    <w:p w14:paraId="2157FABE">
      <w:pPr>
        <w:pStyle w:val="2"/>
        <w:spacing w:before="67" w:line="219" w:lineRule="auto"/>
        <w:ind w:left="1449"/>
      </w:pPr>
      <w:r>
        <w:rPr>
          <w:spacing w:val="-18"/>
        </w:rPr>
        <w:t>如标准（方法）仅为年号、编号变化，或变更的内容不涉及实际检验检测能力变化，可填写此表。</w:t>
      </w:r>
    </w:p>
    <w:p w14:paraId="2FC65350">
      <w:pPr>
        <w:pStyle w:val="2"/>
        <w:spacing w:before="67" w:line="219" w:lineRule="auto"/>
        <w:ind w:left="1449"/>
        <w:rPr>
          <w:spacing w:val="-18"/>
        </w:rPr>
      </w:pPr>
    </w:p>
    <w:p w14:paraId="23D7DAE5">
      <w:pPr>
        <w:pStyle w:val="2"/>
        <w:spacing w:before="67" w:line="219" w:lineRule="auto"/>
        <w:ind w:left="1449"/>
        <w:rPr>
          <w:spacing w:val="-18"/>
        </w:rPr>
      </w:pPr>
    </w:p>
    <w:sectPr>
      <w:pgSz w:w="11906" w:h="16839"/>
      <w:pgMar w:top="1431" w:right="928" w:bottom="0" w:left="92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EEAC5A"/>
    <w:multiLevelType w:val="singleLevel"/>
    <w:tmpl w:val="9AEEAC5A"/>
    <w:lvl w:ilvl="0" w:tentative="0">
      <w:start w:val="1"/>
      <w:numFmt w:val="decimal"/>
      <w:suff w:val="nothing"/>
      <w:lvlText w:val="%1、"/>
      <w:lvlJc w:val="left"/>
    </w:lvl>
  </w:abstractNum>
  <w:abstractNum w:abstractNumId="1">
    <w:nsid w:val="DF5F73F0"/>
    <w:multiLevelType w:val="singleLevel"/>
    <w:tmpl w:val="DF5F73F0"/>
    <w:lvl w:ilvl="0" w:tentative="0">
      <w:start w:val="1"/>
      <w:numFmt w:val="decimal"/>
      <w:suff w:val="nothing"/>
      <w:lvlText w:val="%1、"/>
      <w:lvlJc w:val="left"/>
    </w:lvl>
  </w:abstractNum>
  <w:abstractNum w:abstractNumId="2">
    <w:nsid w:val="EFEEFECE"/>
    <w:multiLevelType w:val="singleLevel"/>
    <w:tmpl w:val="EFEEFECE"/>
    <w:lvl w:ilvl="0" w:tentative="0">
      <w:start w:val="1"/>
      <w:numFmt w:val="decimal"/>
      <w:suff w:val="nothing"/>
      <w:lvlText w:val="%1、"/>
      <w:lvlJc w:val="left"/>
    </w:lvl>
  </w:abstractNum>
  <w:abstractNum w:abstractNumId="3">
    <w:nsid w:val="F7BF7E1B"/>
    <w:multiLevelType w:val="singleLevel"/>
    <w:tmpl w:val="F7BF7E1B"/>
    <w:lvl w:ilvl="0" w:tentative="0">
      <w:start w:val="1"/>
      <w:numFmt w:val="decimal"/>
      <w:suff w:val="nothing"/>
      <w:lvlText w:val="%1、"/>
      <w:lvlJc w:val="left"/>
    </w:lvl>
  </w:abstractNum>
  <w:abstractNum w:abstractNumId="4">
    <w:nsid w:val="FBFE1B18"/>
    <w:multiLevelType w:val="singleLevel"/>
    <w:tmpl w:val="FBFE1B18"/>
    <w:lvl w:ilvl="0" w:tentative="0">
      <w:start w:val="1"/>
      <w:numFmt w:val="decimal"/>
      <w:suff w:val="nothing"/>
      <w:lvlText w:val="%1、"/>
      <w:lvlJc w:val="left"/>
    </w:lvl>
  </w:abstractNum>
  <w:abstractNum w:abstractNumId="5">
    <w:nsid w:val="4BEC644A"/>
    <w:multiLevelType w:val="singleLevel"/>
    <w:tmpl w:val="4BEC644A"/>
    <w:lvl w:ilvl="0" w:tentative="0">
      <w:start w:val="1"/>
      <w:numFmt w:val="decimal"/>
      <w:suff w:val="nothing"/>
      <w:lvlText w:val="%1、"/>
      <w:lvlJc w:val="left"/>
    </w:lvl>
  </w:abstractNum>
  <w:abstractNum w:abstractNumId="6">
    <w:nsid w:val="67D966F0"/>
    <w:multiLevelType w:val="singleLevel"/>
    <w:tmpl w:val="67D966F0"/>
    <w:lvl w:ilvl="0" w:tentative="0">
      <w:start w:val="1"/>
      <w:numFmt w:val="decimal"/>
      <w:suff w:val="nothing"/>
      <w:lvlText w:val="%1、"/>
      <w:lvlJc w:val="left"/>
    </w:lvl>
  </w:abstractNum>
  <w:num w:numId="1">
    <w:abstractNumId w:val="3"/>
  </w:num>
  <w:num w:numId="2">
    <w:abstractNumId w:val="5"/>
  </w:num>
  <w:num w:numId="3">
    <w:abstractNumId w:val="6"/>
  </w:num>
  <w:num w:numId="4">
    <w:abstractNumId w:val="4"/>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k4ZWZhYTc2YTRhMzdlODBmODVhMDIzNjcyMThhNzcifQ=="/>
  </w:docVars>
  <w:rsids>
    <w:rsidRoot w:val="00000000"/>
    <w:rsid w:val="2116462E"/>
    <w:rsid w:val="2B6C0390"/>
    <w:rsid w:val="2D7854A0"/>
    <w:rsid w:val="2E5C2B92"/>
    <w:rsid w:val="30941107"/>
    <w:rsid w:val="32AE8602"/>
    <w:rsid w:val="37CD5CEC"/>
    <w:rsid w:val="38E10182"/>
    <w:rsid w:val="3AA80755"/>
    <w:rsid w:val="3FF3E51E"/>
    <w:rsid w:val="485F63C2"/>
    <w:rsid w:val="5FDFBDF7"/>
    <w:rsid w:val="604171D2"/>
    <w:rsid w:val="66705BDC"/>
    <w:rsid w:val="6B3F132E"/>
    <w:rsid w:val="6DFE365B"/>
    <w:rsid w:val="6ED2381F"/>
    <w:rsid w:val="72E74254"/>
    <w:rsid w:val="7427252E"/>
    <w:rsid w:val="745FD47E"/>
    <w:rsid w:val="75DF16EA"/>
    <w:rsid w:val="75F718BE"/>
    <w:rsid w:val="7EFEB9A7"/>
    <w:rsid w:val="7F776E52"/>
    <w:rsid w:val="7FDEFC54"/>
    <w:rsid w:val="7FFDD7F9"/>
    <w:rsid w:val="98FB767F"/>
    <w:rsid w:val="D5FE8685"/>
    <w:rsid w:val="DFBEB1BD"/>
    <w:rsid w:val="EB9F4D47"/>
    <w:rsid w:val="EF635E32"/>
    <w:rsid w:val="EFFECA83"/>
    <w:rsid w:val="FACFCB8E"/>
    <w:rsid w:val="FF8F9FF2"/>
    <w:rsid w:val="FFE67B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18"/>
      <w:szCs w:val="18"/>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link w:val="9"/>
    <w:semiHidden/>
    <w:qFormat/>
    <w:uiPriority w:val="0"/>
    <w:rPr>
      <w:rFonts w:ascii="宋体" w:hAnsi="宋体" w:eastAsia="宋体" w:cs="宋体"/>
      <w:sz w:val="24"/>
      <w:szCs w:val="24"/>
      <w:lang w:val="en-US" w:eastAsia="en-US" w:bidi="ar-SA"/>
    </w:rPr>
  </w:style>
  <w:style w:type="character" w:customStyle="1" w:styleId="9">
    <w:name w:val="Table Text Char"/>
    <w:link w:val="8"/>
    <w:qFormat/>
    <w:uiPriority w:val="0"/>
    <w:rPr>
      <w:rFonts w:ascii="宋体" w:hAnsi="宋体" w:eastAsia="宋体" w:cs="宋体"/>
      <w:sz w:val="24"/>
      <w:szCs w:val="24"/>
      <w:lang w:val="en-US" w:eastAsia="en-US" w:bidi="ar-SA"/>
    </w:rPr>
  </w:style>
  <w:style w:type="character" w:customStyle="1" w:styleId="10">
    <w:name w:val="font11"/>
    <w:basedOn w:val="6"/>
    <w:qFormat/>
    <w:uiPriority w:val="0"/>
    <w:rPr>
      <w:rFonts w:hint="eastAsia" w:ascii="仿宋_GB2312" w:eastAsia="仿宋_GB2312" w:cs="仿宋_GB2312"/>
      <w:color w:val="000000"/>
      <w:sz w:val="20"/>
      <w:szCs w:val="20"/>
      <w:u w:val="none"/>
    </w:rPr>
  </w:style>
  <w:style w:type="character" w:customStyle="1" w:styleId="11">
    <w:name w:val="font21"/>
    <w:basedOn w:val="6"/>
    <w:qFormat/>
    <w:uiPriority w:val="0"/>
    <w:rPr>
      <w:rFonts w:hint="default" w:ascii="Times New Roman" w:hAnsi="Times New Roman" w:cs="Times New Roman"/>
      <w:color w:val="000000"/>
      <w:sz w:val="20"/>
      <w:szCs w:val="20"/>
      <w:u w:val="none"/>
    </w:rPr>
  </w:style>
  <w:style w:type="character" w:customStyle="1" w:styleId="12">
    <w:name w:val="font31"/>
    <w:basedOn w:val="6"/>
    <w:qFormat/>
    <w:uiPriority w:val="0"/>
    <w:rPr>
      <w:rFonts w:hint="eastAsia" w:ascii="仿宋_GB2312" w:eastAsia="仿宋_GB2312" w:cs="仿宋_GB2312"/>
      <w:color w:val="333333"/>
      <w:sz w:val="20"/>
      <w:szCs w:val="20"/>
      <w:u w:val="none"/>
    </w:rPr>
  </w:style>
  <w:style w:type="character" w:customStyle="1" w:styleId="13">
    <w:name w:val="font41"/>
    <w:basedOn w:val="6"/>
    <w:qFormat/>
    <w:uiPriority w:val="0"/>
    <w:rPr>
      <w:rFonts w:hint="default" w:ascii="Times New Roman" w:hAnsi="Times New Roman" w:cs="Times New Roman"/>
      <w:color w:val="333333"/>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Words>14327</Words>
  <Characters>17546</Characters>
  <TotalTime>246</TotalTime>
  <ScaleCrop>false</ScaleCrop>
  <LinksUpToDate>false</LinksUpToDate>
  <CharactersWithSpaces>18161</CharactersWithSpaces>
  <Application>WPS Office_12.8.2.17863_F1E327BC-269C-435d-A152-05C5408002CA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2023-11-29T09:31:00Z</dcterms:created>
  <dc:creator>张晓晴</dc:creator>
  <cp:lastModifiedBy>uos</cp:lastModifiedBy>
  <cp:lastPrinted>2026-05-08T18:39:00Z</cp:lastPrinted>
  <dcterms:modified xsi:type="dcterms:W3CDTF">2026-05-09T10:48:32Z</dcterms:modified>
  <dc:title>国认</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2023-12-01T10:03:59Z</vt:filetime>
  </property>
  <property fmtid="{D5CDD505-2E9C-101B-9397-08002B2CF9AE}" pid="4" name="KSOProductBuildVer">
    <vt:lpwstr>2052-12.8.2.17863</vt:lpwstr>
  </property>
  <property fmtid="{D5CDD505-2E9C-101B-9397-08002B2CF9AE}" pid="5" name="ICV">
    <vt:lpwstr>D3324D86269E071D80A0FE6987B64FD1_43</vt:lpwstr>
  </property>
  <property fmtid="{D5CDD505-2E9C-101B-9397-08002B2CF9AE}" pid="6" name="KSOTemplateDocerSaveRecord">
    <vt:lpwstr>eyJoZGlkIjoiMTlkYmU0NjhkMGNhOGY3NTg4YzI5MjFkZjc5ZTNmNDAiLCJ1c2VySWQiOiIxMjMxNTc5MjYxIn0=</vt:lpwstr>
  </property>
</Properties>
</file>